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1B95F8F6" w:rsidR="0051225C" w:rsidRDefault="00000000">
      <w:pPr>
        <w:rPr>
          <w:i/>
          <w:iCs/>
          <w:color w:val="222222"/>
          <w:sz w:val="22"/>
          <w:szCs w:val="22"/>
        </w:rPr>
      </w:pPr>
      <w:r>
        <w:rPr>
          <w:i/>
          <w:iCs/>
          <w:color w:val="222222"/>
          <w:sz w:val="22"/>
          <w:szCs w:val="22"/>
        </w:rPr>
        <w:t>discard studies: forms of containment</w:t>
      </w:r>
    </w:p>
    <w:p w14:paraId="00000002" w14:textId="77777777" w:rsidR="0051225C" w:rsidRDefault="00000000">
      <w:pPr>
        <w:rPr>
          <w:color w:val="222222"/>
          <w:sz w:val="22"/>
          <w:szCs w:val="22"/>
        </w:rPr>
      </w:pPr>
      <w:r>
        <w:rPr>
          <w:color w:val="222222"/>
          <w:sz w:val="22"/>
          <w:szCs w:val="22"/>
        </w:rPr>
        <w:t xml:space="preserve">By Katie Lawson, Curator  </w:t>
      </w:r>
    </w:p>
    <w:p w14:paraId="00000003" w14:textId="77777777" w:rsidR="0051225C" w:rsidRDefault="0051225C">
      <w:pPr>
        <w:rPr>
          <w:color w:val="222222"/>
          <w:sz w:val="22"/>
          <w:szCs w:val="22"/>
        </w:rPr>
      </w:pPr>
    </w:p>
    <w:p w14:paraId="00000004" w14:textId="77777777" w:rsidR="0051225C" w:rsidRDefault="00000000">
      <w:pPr>
        <w:shd w:val="clear" w:color="auto" w:fill="FFFFFF"/>
        <w:ind w:firstLine="720"/>
        <w:rPr>
          <w:color w:val="222222"/>
          <w:sz w:val="22"/>
          <w:szCs w:val="22"/>
        </w:rPr>
      </w:pPr>
      <w:r>
        <w:rPr>
          <w:i/>
          <w:iCs/>
          <w:color w:val="222222"/>
          <w:sz w:val="22"/>
          <w:szCs w:val="22"/>
        </w:rPr>
        <w:t>discard studies: forms of containment</w:t>
      </w:r>
      <w:r>
        <w:rPr>
          <w:color w:val="222222"/>
          <w:sz w:val="22"/>
          <w:szCs w:val="22"/>
        </w:rPr>
        <w:t xml:space="preserve"> </w:t>
      </w:r>
      <w:proofErr w:type="gramStart"/>
      <w:r>
        <w:rPr>
          <w:color w:val="222222"/>
          <w:sz w:val="22"/>
          <w:szCs w:val="22"/>
        </w:rPr>
        <w:t>emerges</w:t>
      </w:r>
      <w:proofErr w:type="gramEnd"/>
      <w:r>
        <w:rPr>
          <w:color w:val="222222"/>
          <w:sz w:val="22"/>
          <w:szCs w:val="22"/>
        </w:rPr>
        <w:t xml:space="preserve"> from conversations between Dana Prieto, Laura Grier, and Laura Pitkanen, tracing connections between seemingly disparate histories and contemporary conditions of communities impacted by Canada’s expanding nuclear industry. In their own distinct ways, these artists explore strategies of refusal against the forms of containment, civility, and bureaucracy through which </w:t>
      </w:r>
      <w:proofErr w:type="spellStart"/>
      <w:r>
        <w:rPr>
          <w:color w:val="222222"/>
          <w:sz w:val="22"/>
          <w:szCs w:val="22"/>
        </w:rPr>
        <w:t>nuclearity</w:t>
      </w:r>
      <w:proofErr w:type="spellEnd"/>
      <w:r>
        <w:rPr>
          <w:color w:val="222222"/>
          <w:sz w:val="22"/>
          <w:szCs w:val="22"/>
        </w:rPr>
        <w:t xml:space="preserve"> persists without scrutiny. From uranium mining to the burial of radioactive waste, nuclear technologies have been central to the production and maintenance of the Canadian settler-state. Especially in Ontario, our enduring proximity to the nuclear industrial complex shapes human and more-than-human lives in banal, pervasive, and often imperceptible ways. This exhibition comes at a critical time, as energy demands rise—driven by militarization, artificial intelligence, data centres, and climate policy—and nuclear is falsely recast as a clean and safe alternative to fossil fuels. Working across archival research, mixed-media installation, experimental sound and video, Prieto, Grier, and Pitkanen tend to the systems of discard that continue to sustain nuclear colonialism. </w:t>
      </w:r>
    </w:p>
    <w:p w14:paraId="00000005" w14:textId="77777777" w:rsidR="0051225C" w:rsidRDefault="0051225C">
      <w:pPr>
        <w:shd w:val="clear" w:color="auto" w:fill="FFFFFF"/>
        <w:ind w:firstLine="720"/>
        <w:rPr>
          <w:color w:val="222222"/>
          <w:sz w:val="22"/>
          <w:szCs w:val="22"/>
        </w:rPr>
      </w:pPr>
    </w:p>
    <w:p w14:paraId="00000006" w14:textId="30820988" w:rsidR="0051225C" w:rsidRDefault="00000000">
      <w:pPr>
        <w:shd w:val="clear" w:color="auto" w:fill="FFFFFF"/>
        <w:ind w:firstLine="720"/>
        <w:rPr>
          <w:color w:val="222222"/>
          <w:sz w:val="22"/>
          <w:szCs w:val="22"/>
        </w:rPr>
      </w:pPr>
      <w:r>
        <w:rPr>
          <w:color w:val="222222"/>
          <w:sz w:val="22"/>
          <w:szCs w:val="22"/>
        </w:rPr>
        <w:t xml:space="preserve">The title of this exhibition points to two theoretical frameworks that have been generative for me as a curator to see connections between </w:t>
      </w:r>
      <w:r>
        <w:rPr>
          <w:sz w:val="22"/>
          <w:szCs w:val="22"/>
        </w:rPr>
        <w:t xml:space="preserve">colonialism, nuclear infrastructure, contamination, and the uneven distribution of risk. </w:t>
      </w:r>
      <w:r>
        <w:rPr>
          <w:color w:val="222222"/>
          <w:sz w:val="22"/>
          <w:szCs w:val="22"/>
        </w:rPr>
        <w:t>In the emerging field of discard studies, geographers Max Liboiron and Josh Lep</w:t>
      </w:r>
      <w:r w:rsidR="00944575">
        <w:rPr>
          <w:color w:val="222222"/>
          <w:sz w:val="22"/>
          <w:szCs w:val="22"/>
        </w:rPr>
        <w:t>aw</w:t>
      </w:r>
      <w:r>
        <w:rPr>
          <w:color w:val="222222"/>
          <w:sz w:val="22"/>
          <w:szCs w:val="22"/>
        </w:rPr>
        <w:t>sky argue that social, political, and economic systems maintain power through discarding certain people, places, or things. In this framework, waste is not an accidental byproduct of industry but an inherent characteristic of industrial systems that rely on externalization or sacrifice zones.</w:t>
      </w:r>
      <w:r w:rsidR="00944575">
        <w:rPr>
          <w:rStyle w:val="FootnoteReference"/>
          <w:color w:val="222222"/>
          <w:sz w:val="22"/>
          <w:szCs w:val="22"/>
        </w:rPr>
        <w:footnoteReference w:id="1"/>
      </w:r>
      <w:r>
        <w:rPr>
          <w:color w:val="222222"/>
          <w:sz w:val="22"/>
          <w:szCs w:val="22"/>
        </w:rPr>
        <w:t xml:space="preserve"> The continued siting of polluting infrastructure on Indigenous land and in low-income neighbourhoods is evidence of the uneven relations between centre and periphery. Laura Pitkanen, </w:t>
      </w:r>
      <w:r>
        <w:rPr>
          <w:color w:val="222222"/>
          <w:sz w:val="22"/>
          <w:szCs w:val="22"/>
          <w:highlight w:val="white"/>
        </w:rPr>
        <w:t>a c</w:t>
      </w:r>
      <w:r>
        <w:rPr>
          <w:color w:val="000000"/>
          <w:sz w:val="22"/>
          <w:szCs w:val="22"/>
        </w:rPr>
        <w:t>ritical geographer and interdisciplinary artist</w:t>
      </w:r>
      <w:r>
        <w:rPr>
          <w:color w:val="222222"/>
          <w:sz w:val="22"/>
          <w:szCs w:val="22"/>
        </w:rPr>
        <w:t xml:space="preserve"> whose work is featured in the exhibition, has articulated the ways in which nuclear industries continue to thrive and grow despite the clear evidence that they are responsible for bodily and ecological harm. She describes social and political containment as a set of tactics and strategies that work “to enclose, limit, distort, undermine, or erase opposition to dominant political and economic interests, that is, those of the nuclear states.”</w:t>
      </w:r>
      <w:r>
        <w:rPr>
          <w:color w:val="222222"/>
          <w:sz w:val="22"/>
          <w:szCs w:val="22"/>
          <w:vertAlign w:val="superscript"/>
        </w:rPr>
        <w:footnoteReference w:id="2"/>
      </w:r>
      <w:r>
        <w:rPr>
          <w:color w:val="222222"/>
          <w:sz w:val="22"/>
          <w:szCs w:val="22"/>
        </w:rPr>
        <w:t xml:space="preserve"> If discard names the process through which certain people, places, and materials are externalized as waste, containment describes some of the strategies through which the consequences of that externalization are managed, obscured, or made to appear acceptable.</w:t>
      </w:r>
    </w:p>
    <w:p w14:paraId="00000007" w14:textId="77777777" w:rsidR="0051225C" w:rsidRDefault="0051225C">
      <w:pPr>
        <w:shd w:val="clear" w:color="auto" w:fill="FFFFFF"/>
        <w:rPr>
          <w:color w:val="222222"/>
          <w:sz w:val="22"/>
          <w:szCs w:val="22"/>
        </w:rPr>
      </w:pPr>
    </w:p>
    <w:p w14:paraId="00000008" w14:textId="77777777" w:rsidR="0051225C" w:rsidRDefault="00000000">
      <w:pPr>
        <w:shd w:val="clear" w:color="auto" w:fill="FFFFFF"/>
        <w:ind w:firstLine="720"/>
        <w:rPr>
          <w:color w:val="000000"/>
          <w:sz w:val="22"/>
          <w:szCs w:val="22"/>
        </w:rPr>
      </w:pPr>
      <w:r>
        <w:rPr>
          <w:color w:val="000000"/>
          <w:sz w:val="22"/>
          <w:szCs w:val="22"/>
        </w:rPr>
        <w:t>In Ontario, nuclear power already supplies over 50% of the province’s electrical grid—the highest concentration nationwide—and aims to further scale the industry through the Energy for Generations plan.</w:t>
      </w:r>
      <w:r>
        <w:rPr>
          <w:color w:val="000000"/>
          <w:sz w:val="22"/>
          <w:szCs w:val="22"/>
          <w:vertAlign w:val="superscript"/>
        </w:rPr>
        <w:footnoteReference w:id="3"/>
      </w:r>
      <w:r>
        <w:rPr>
          <w:color w:val="000000"/>
          <w:sz w:val="22"/>
          <w:szCs w:val="22"/>
        </w:rPr>
        <w:t xml:space="preserve"> The generation of energy relies not only on nuclear reactors but robust infrastructure for uranium mining, processing, and fuel fabrication. The very origins of the nuclear industry in Canada have deep roots in Ontario as the Port Hope Conversion Facility was the first facility of its kind to open in Canada in 1932. But this site and its history are entangled with another, that of Eldorado Mine in Port Radium, situated on the eastern shores of Great Bear Lake in the Northwest Territories. The ore extracted at Port Radium </w:t>
      </w:r>
      <w:r>
        <w:rPr>
          <w:sz w:val="22"/>
          <w:szCs w:val="22"/>
        </w:rPr>
        <w:t>was</w:t>
      </w:r>
      <w:r>
        <w:rPr>
          <w:color w:val="000000"/>
          <w:sz w:val="22"/>
          <w:szCs w:val="22"/>
        </w:rPr>
        <w:t xml:space="preserve"> transported across remote waters and lands, covering a route of roughly five-to-six-thousand kilometers in length to arrive </w:t>
      </w:r>
      <w:r>
        <w:rPr>
          <w:sz w:val="22"/>
          <w:szCs w:val="22"/>
        </w:rPr>
        <w:t>in</w:t>
      </w:r>
      <w:r>
        <w:rPr>
          <w:color w:val="000000"/>
          <w:sz w:val="22"/>
          <w:szCs w:val="22"/>
        </w:rPr>
        <w:t xml:space="preserve"> Port Hope for processing.</w:t>
      </w:r>
      <w:r>
        <w:rPr>
          <w:color w:val="000000"/>
          <w:sz w:val="22"/>
          <w:szCs w:val="22"/>
          <w:vertAlign w:val="superscript"/>
        </w:rPr>
        <w:footnoteReference w:id="4"/>
      </w:r>
      <w:r>
        <w:rPr>
          <w:color w:val="000000"/>
          <w:sz w:val="22"/>
          <w:szCs w:val="22"/>
        </w:rPr>
        <w:t xml:space="preserve"> It was the local Dene community that </w:t>
      </w:r>
      <w:r>
        <w:rPr>
          <w:color w:val="222222"/>
          <w:sz w:val="22"/>
          <w:szCs w:val="22"/>
        </w:rPr>
        <w:t xml:space="preserve">unwittingly handled radioactive ore along this route, breathing in toxic dust with no protective </w:t>
      </w:r>
      <w:r>
        <w:rPr>
          <w:color w:val="222222"/>
          <w:sz w:val="22"/>
          <w:szCs w:val="22"/>
        </w:rPr>
        <w:lastRenderedPageBreak/>
        <w:t xml:space="preserve">equipment. The toxic legacy of this period is still felt in the community of </w:t>
      </w:r>
      <w:proofErr w:type="spellStart"/>
      <w:r>
        <w:rPr>
          <w:sz w:val="22"/>
          <w:szCs w:val="22"/>
        </w:rPr>
        <w:t>Délı̨nę</w:t>
      </w:r>
      <w:proofErr w:type="spellEnd"/>
      <w:r>
        <w:rPr>
          <w:sz w:val="22"/>
          <w:szCs w:val="22"/>
        </w:rPr>
        <w:t xml:space="preserve"> as those who worked in contaminated conditions succumbed to or are still afflicted with various forms of cancer.</w:t>
      </w:r>
      <w:r>
        <w:rPr>
          <w:color w:val="222222"/>
          <w:sz w:val="22"/>
          <w:szCs w:val="22"/>
          <w:vertAlign w:val="superscript"/>
        </w:rPr>
        <w:footnoteReference w:id="5"/>
      </w:r>
    </w:p>
    <w:p w14:paraId="00000009" w14:textId="77777777" w:rsidR="0051225C" w:rsidRDefault="0051225C">
      <w:pPr>
        <w:shd w:val="clear" w:color="auto" w:fill="FFFFFF"/>
        <w:rPr>
          <w:color w:val="000000"/>
          <w:sz w:val="22"/>
          <w:szCs w:val="22"/>
        </w:rPr>
      </w:pPr>
    </w:p>
    <w:p w14:paraId="0000000A" w14:textId="77777777" w:rsidR="0051225C" w:rsidRDefault="00000000">
      <w:pPr>
        <w:shd w:val="clear" w:color="auto" w:fill="FFFFFF"/>
        <w:ind w:firstLine="720"/>
        <w:rPr>
          <w:sz w:val="22"/>
          <w:szCs w:val="22"/>
        </w:rPr>
      </w:pPr>
      <w:r>
        <w:rPr>
          <w:sz w:val="22"/>
          <w:szCs w:val="22"/>
        </w:rPr>
        <w:t xml:space="preserve">Long before the arrival of the nuclear industry to the Northwest Territories, a young Dene boy named Louis Ayah began experiencing visions in 1865 which would lead to a series of prophecies shared with his </w:t>
      </w:r>
      <w:proofErr w:type="spellStart"/>
      <w:r>
        <w:rPr>
          <w:sz w:val="22"/>
          <w:szCs w:val="22"/>
        </w:rPr>
        <w:t>Délı̨nę</w:t>
      </w:r>
      <w:proofErr w:type="spellEnd"/>
      <w:r>
        <w:rPr>
          <w:sz w:val="22"/>
          <w:szCs w:val="22"/>
        </w:rPr>
        <w:t xml:space="preserve"> community. He foretold various futures that would come to pass, from the arrival of white men who discovered precious minerals to the formation of the </w:t>
      </w:r>
      <w:proofErr w:type="spellStart"/>
      <w:r>
        <w:rPr>
          <w:sz w:val="22"/>
          <w:szCs w:val="22"/>
        </w:rPr>
        <w:t>Délı̨nę</w:t>
      </w:r>
      <w:proofErr w:type="spellEnd"/>
      <w:r>
        <w:rPr>
          <w:sz w:val="22"/>
          <w:szCs w:val="22"/>
        </w:rPr>
        <w:t xml:space="preserve"> </w:t>
      </w:r>
      <w:proofErr w:type="spellStart"/>
      <w:r>
        <w:rPr>
          <w:sz w:val="22"/>
          <w:szCs w:val="22"/>
        </w:rPr>
        <w:t>Got’ı̨nę</w:t>
      </w:r>
      <w:proofErr w:type="spellEnd"/>
      <w:r>
        <w:rPr>
          <w:sz w:val="22"/>
          <w:szCs w:val="22"/>
        </w:rPr>
        <w:t xml:space="preserve"> Government, the first independently self-governed Indigenous community in the Northwest Territories as of 2016. One of Ayah’s prophecies has yet to come to fruition but looms large as each passing year the conditions of climate catastrophe intensify—that Great Bear Lake will be the last viable source of fresh water on the planet. The </w:t>
      </w:r>
      <w:proofErr w:type="spellStart"/>
      <w:r>
        <w:rPr>
          <w:sz w:val="22"/>
          <w:szCs w:val="22"/>
        </w:rPr>
        <w:t>Sahtuto’ine</w:t>
      </w:r>
      <w:proofErr w:type="spellEnd"/>
      <w:r>
        <w:rPr>
          <w:sz w:val="22"/>
          <w:szCs w:val="22"/>
        </w:rPr>
        <w:t xml:space="preserve"> Dene believe in </w:t>
      </w:r>
      <w:proofErr w:type="spellStart"/>
      <w:r>
        <w:rPr>
          <w:sz w:val="22"/>
          <w:szCs w:val="22"/>
        </w:rPr>
        <w:t>Tudzé</w:t>
      </w:r>
      <w:proofErr w:type="spellEnd"/>
      <w:r>
        <w:rPr>
          <w:sz w:val="22"/>
          <w:szCs w:val="22"/>
        </w:rPr>
        <w:t>, a sacred water heart that beats at the bottom of the lake, and this has guided their watershed management plan which honours and protects the critical life force that connects all living things.</w:t>
      </w:r>
      <w:r>
        <w:rPr>
          <w:sz w:val="22"/>
          <w:szCs w:val="22"/>
          <w:vertAlign w:val="superscript"/>
        </w:rPr>
        <w:footnoteReference w:id="6"/>
      </w:r>
    </w:p>
    <w:p w14:paraId="0000000B" w14:textId="77777777" w:rsidR="0051225C" w:rsidRDefault="0051225C">
      <w:pPr>
        <w:shd w:val="clear" w:color="auto" w:fill="FFFFFF"/>
        <w:rPr>
          <w:sz w:val="22"/>
          <w:szCs w:val="22"/>
        </w:rPr>
      </w:pPr>
    </w:p>
    <w:p w14:paraId="0000000C" w14:textId="77777777" w:rsidR="0051225C" w:rsidRDefault="00000000">
      <w:pPr>
        <w:shd w:val="clear" w:color="auto" w:fill="FFFFFF"/>
        <w:ind w:firstLine="720"/>
        <w:rPr>
          <w:color w:val="000000"/>
          <w:sz w:val="22"/>
          <w:szCs w:val="22"/>
        </w:rPr>
      </w:pPr>
      <w:r>
        <w:rPr>
          <w:sz w:val="22"/>
          <w:szCs w:val="22"/>
        </w:rPr>
        <w:t xml:space="preserve">The Indigenous-led conservation of nine-million-hectare </w:t>
      </w:r>
      <w:proofErr w:type="spellStart"/>
      <w:r>
        <w:rPr>
          <w:sz w:val="22"/>
          <w:szCs w:val="22"/>
        </w:rPr>
        <w:t>Tsá</w:t>
      </w:r>
      <w:proofErr w:type="spellEnd"/>
      <w:r>
        <w:rPr>
          <w:sz w:val="22"/>
          <w:szCs w:val="22"/>
        </w:rPr>
        <w:t xml:space="preserve"> </w:t>
      </w:r>
      <w:proofErr w:type="spellStart"/>
      <w:r>
        <w:rPr>
          <w:sz w:val="22"/>
          <w:szCs w:val="22"/>
        </w:rPr>
        <w:t>Tué</w:t>
      </w:r>
      <w:proofErr w:type="spellEnd"/>
      <w:r>
        <w:rPr>
          <w:sz w:val="22"/>
          <w:szCs w:val="22"/>
        </w:rPr>
        <w:t xml:space="preserve"> Biosphere Reserve, with the lake’s water heart at its centre, is central to </w:t>
      </w:r>
      <w:r>
        <w:rPr>
          <w:b/>
          <w:bCs/>
          <w:sz w:val="22"/>
          <w:szCs w:val="22"/>
        </w:rPr>
        <w:t>Laura Grier</w:t>
      </w:r>
      <w:r>
        <w:rPr>
          <w:sz w:val="22"/>
          <w:szCs w:val="22"/>
        </w:rPr>
        <w:t xml:space="preserve">’s two-channel video installation </w:t>
      </w:r>
      <w:proofErr w:type="spellStart"/>
      <w:r>
        <w:rPr>
          <w:i/>
          <w:iCs/>
          <w:sz w:val="22"/>
          <w:szCs w:val="22"/>
        </w:rPr>
        <w:t>Natúdze</w:t>
      </w:r>
      <w:proofErr w:type="spellEnd"/>
      <w:r>
        <w:rPr>
          <w:i/>
          <w:iCs/>
          <w:sz w:val="22"/>
          <w:szCs w:val="22"/>
        </w:rPr>
        <w:t xml:space="preserve"> </w:t>
      </w:r>
      <w:r>
        <w:rPr>
          <w:sz w:val="22"/>
          <w:szCs w:val="22"/>
        </w:rPr>
        <w:t xml:space="preserve">(2026). Footage of the calm, clear waters of Great Bear Lake from </w:t>
      </w:r>
      <w:r>
        <w:rPr>
          <w:color w:val="000000"/>
          <w:sz w:val="22"/>
          <w:szCs w:val="22"/>
        </w:rPr>
        <w:t xml:space="preserve">Grier’s home territory of </w:t>
      </w:r>
      <w:proofErr w:type="spellStart"/>
      <w:r>
        <w:rPr>
          <w:sz w:val="22"/>
          <w:szCs w:val="22"/>
        </w:rPr>
        <w:t>Délı̨nę</w:t>
      </w:r>
      <w:proofErr w:type="spellEnd"/>
      <w:r>
        <w:rPr>
          <w:color w:val="000000"/>
          <w:sz w:val="22"/>
          <w:szCs w:val="22"/>
        </w:rPr>
        <w:t xml:space="preserve"> is juxtaposed with shots of Lake Ontario, steps from where they currently live in Toronto. Here, the water is green with algae from excess </w:t>
      </w:r>
      <w:proofErr w:type="gramStart"/>
      <w:r>
        <w:rPr>
          <w:color w:val="000000"/>
          <w:sz w:val="22"/>
          <w:szCs w:val="22"/>
        </w:rPr>
        <w:t>phosphorus</w:t>
      </w:r>
      <w:proofErr w:type="gramEnd"/>
      <w:r>
        <w:rPr>
          <w:color w:val="000000"/>
          <w:sz w:val="22"/>
          <w:szCs w:val="22"/>
        </w:rPr>
        <w:t xml:space="preserve"> and the skies are hazy and yellow from wildfire smoke, signs for Grier of a sick water heart—one that has not been protected. </w:t>
      </w:r>
      <w:proofErr w:type="spellStart"/>
      <w:r>
        <w:rPr>
          <w:i/>
          <w:iCs/>
          <w:sz w:val="22"/>
          <w:szCs w:val="22"/>
        </w:rPr>
        <w:t>Natúdze</w:t>
      </w:r>
      <w:proofErr w:type="spellEnd"/>
      <w:r>
        <w:rPr>
          <w:color w:val="000000"/>
          <w:sz w:val="22"/>
          <w:szCs w:val="22"/>
        </w:rPr>
        <w:t xml:space="preserve"> builds on the artist’s previous engagement with their nation’s stories and prophecies, rooted in conversations with Dene Elders that are documented and shared through a series of screenprints made in 2017 (</w:t>
      </w:r>
      <w:r>
        <w:rPr>
          <w:i/>
          <w:iCs/>
          <w:color w:val="000000"/>
          <w:sz w:val="22"/>
          <w:szCs w:val="22"/>
        </w:rPr>
        <w:t xml:space="preserve">Somba </w:t>
      </w:r>
      <w:proofErr w:type="spellStart"/>
      <w:r>
        <w:rPr>
          <w:i/>
          <w:iCs/>
          <w:sz w:val="22"/>
          <w:szCs w:val="22"/>
        </w:rPr>
        <w:t>ke</w:t>
      </w:r>
      <w:proofErr w:type="spellEnd"/>
      <w:r>
        <w:rPr>
          <w:i/>
          <w:iCs/>
          <w:sz w:val="22"/>
          <w:szCs w:val="22"/>
        </w:rPr>
        <w:t xml:space="preserve"> </w:t>
      </w:r>
      <w:r>
        <w:rPr>
          <w:sz w:val="22"/>
          <w:szCs w:val="22"/>
        </w:rPr>
        <w:t xml:space="preserve">and </w:t>
      </w:r>
      <w:proofErr w:type="spellStart"/>
      <w:r>
        <w:rPr>
          <w:i/>
          <w:iCs/>
          <w:sz w:val="22"/>
          <w:szCs w:val="22"/>
        </w:rPr>
        <w:t>Tudze</w:t>
      </w:r>
      <w:proofErr w:type="spellEnd"/>
      <w:r>
        <w:rPr>
          <w:i/>
          <w:iCs/>
          <w:sz w:val="22"/>
          <w:szCs w:val="22"/>
        </w:rPr>
        <w:t>)</w:t>
      </w:r>
      <w:r>
        <w:rPr>
          <w:color w:val="000000"/>
          <w:sz w:val="22"/>
          <w:szCs w:val="22"/>
        </w:rPr>
        <w:t xml:space="preserve">. </w:t>
      </w:r>
    </w:p>
    <w:p w14:paraId="0000000D" w14:textId="77777777" w:rsidR="0051225C" w:rsidRDefault="0051225C">
      <w:pPr>
        <w:shd w:val="clear" w:color="auto" w:fill="FFFFFF"/>
        <w:ind w:firstLine="720"/>
        <w:rPr>
          <w:color w:val="000000"/>
          <w:sz w:val="22"/>
          <w:szCs w:val="22"/>
        </w:rPr>
      </w:pPr>
    </w:p>
    <w:p w14:paraId="0000000E" w14:textId="77777777" w:rsidR="0051225C" w:rsidRDefault="00000000">
      <w:pPr>
        <w:shd w:val="clear" w:color="auto" w:fill="FFFFFF"/>
        <w:ind w:firstLine="720"/>
        <w:rPr>
          <w:color w:val="222222"/>
          <w:sz w:val="22"/>
          <w:szCs w:val="22"/>
          <w:highlight w:val="white"/>
        </w:rPr>
      </w:pPr>
      <w:r>
        <w:rPr>
          <w:color w:val="000000"/>
          <w:sz w:val="22"/>
          <w:szCs w:val="22"/>
        </w:rPr>
        <w:t>The uranium extracted from the Northwest Territories travelled to Port Hope to process material that was used in the Manhattan Project, connecting t</w:t>
      </w:r>
      <w:r>
        <w:rPr>
          <w:sz w:val="22"/>
          <w:szCs w:val="22"/>
        </w:rPr>
        <w:t>hree</w:t>
      </w:r>
      <w:r>
        <w:rPr>
          <w:color w:val="000000"/>
          <w:sz w:val="22"/>
          <w:szCs w:val="22"/>
        </w:rPr>
        <w:t xml:space="preserve"> disparate </w:t>
      </w:r>
      <w:r>
        <w:rPr>
          <w:sz w:val="22"/>
          <w:szCs w:val="22"/>
        </w:rPr>
        <w:t>sites</w:t>
      </w:r>
      <w:r>
        <w:rPr>
          <w:color w:val="000000"/>
          <w:sz w:val="22"/>
          <w:szCs w:val="22"/>
        </w:rPr>
        <w:t xml:space="preserve"> across great distances</w:t>
      </w:r>
      <w:r>
        <w:rPr>
          <w:sz w:val="22"/>
          <w:szCs w:val="22"/>
        </w:rPr>
        <w:t>.</w:t>
      </w:r>
      <w:r>
        <w:rPr>
          <w:color w:val="000000"/>
          <w:sz w:val="22"/>
          <w:szCs w:val="22"/>
        </w:rPr>
        <w:t xml:space="preserve"> </w:t>
      </w:r>
      <w:r>
        <w:rPr>
          <w:sz w:val="22"/>
          <w:szCs w:val="22"/>
        </w:rPr>
        <w:t>In addition to the industry impacts on the Dene community, t</w:t>
      </w:r>
      <w:r>
        <w:rPr>
          <w:color w:val="000000"/>
          <w:sz w:val="22"/>
          <w:szCs w:val="22"/>
        </w:rPr>
        <w:t>he municipalities of Port Hope and Clarington hold the largest volume of historic low-level radioactive waste in the country, “a result of spillage, leakage and widespread disposal of contaminated fill and other materials.”</w:t>
      </w:r>
      <w:r>
        <w:rPr>
          <w:color w:val="000000"/>
          <w:sz w:val="22"/>
          <w:szCs w:val="22"/>
          <w:vertAlign w:val="superscript"/>
        </w:rPr>
        <w:footnoteReference w:id="7"/>
      </w:r>
      <w:r>
        <w:rPr>
          <w:color w:val="000000"/>
          <w:sz w:val="22"/>
          <w:szCs w:val="22"/>
        </w:rPr>
        <w:t xml:space="preserve"> </w:t>
      </w:r>
      <w:r>
        <w:rPr>
          <w:sz w:val="22"/>
          <w:szCs w:val="22"/>
        </w:rPr>
        <w:t>This municipality</w:t>
      </w:r>
      <w:r>
        <w:rPr>
          <w:color w:val="000000"/>
          <w:sz w:val="22"/>
          <w:szCs w:val="22"/>
        </w:rPr>
        <w:t xml:space="preserve"> has been a site that </w:t>
      </w:r>
      <w:r>
        <w:rPr>
          <w:b/>
          <w:bCs/>
          <w:color w:val="222222"/>
          <w:sz w:val="22"/>
          <w:szCs w:val="22"/>
          <w:highlight w:val="white"/>
        </w:rPr>
        <w:t xml:space="preserve">Laura Pitkanen </w:t>
      </w:r>
      <w:r>
        <w:rPr>
          <w:color w:val="222222"/>
          <w:sz w:val="22"/>
          <w:szCs w:val="22"/>
          <w:highlight w:val="white"/>
        </w:rPr>
        <w:t xml:space="preserve">has researched in the formulation of her ideas around containment, as discussed above. Her broader practice connects concepts of memory, monuments, and containment in relation to the extractive industries, ranging from sonic to scholarly outputs. </w:t>
      </w:r>
    </w:p>
    <w:p w14:paraId="0000000F" w14:textId="77777777" w:rsidR="0051225C" w:rsidRDefault="0051225C">
      <w:pPr>
        <w:rPr>
          <w:color w:val="222222"/>
          <w:sz w:val="22"/>
          <w:szCs w:val="22"/>
          <w:highlight w:val="white"/>
        </w:rPr>
      </w:pPr>
    </w:p>
    <w:p w14:paraId="00000010" w14:textId="77777777" w:rsidR="0051225C" w:rsidRDefault="00000000">
      <w:pPr>
        <w:shd w:val="clear" w:color="auto" w:fill="FFFFFF"/>
        <w:ind w:firstLine="720"/>
        <w:rPr>
          <w:color w:val="000000"/>
          <w:sz w:val="22"/>
          <w:szCs w:val="22"/>
        </w:rPr>
      </w:pPr>
      <w:r>
        <w:rPr>
          <w:color w:val="000000"/>
          <w:sz w:val="22"/>
          <w:szCs w:val="22"/>
        </w:rPr>
        <w:t xml:space="preserve">Central to Pitkanen’s installation </w:t>
      </w:r>
      <w:r>
        <w:rPr>
          <w:i/>
          <w:iCs/>
          <w:color w:val="000000"/>
          <w:sz w:val="22"/>
          <w:szCs w:val="22"/>
        </w:rPr>
        <w:t xml:space="preserve">Dear Kids </w:t>
      </w:r>
      <w:r>
        <w:rPr>
          <w:color w:val="000000"/>
          <w:sz w:val="22"/>
          <w:szCs w:val="22"/>
        </w:rPr>
        <w:t xml:space="preserve">(2026) is a sound work, which begins with Pitkanen uttering the phrase "Okay, let's go," echoing </w:t>
      </w:r>
      <w:r>
        <w:rPr>
          <w:sz w:val="22"/>
          <w:szCs w:val="22"/>
        </w:rPr>
        <w:t>a</w:t>
      </w:r>
      <w:r>
        <w:rPr>
          <w:color w:val="000000"/>
          <w:sz w:val="22"/>
          <w:szCs w:val="22"/>
        </w:rPr>
        <w:t xml:space="preserve"> response given by C.D. Howe on August 17</w:t>
      </w:r>
      <w:r>
        <w:rPr>
          <w:color w:val="000000"/>
          <w:sz w:val="22"/>
          <w:szCs w:val="22"/>
          <w:vertAlign w:val="superscript"/>
        </w:rPr>
        <w:t>th</w:t>
      </w:r>
      <w:r>
        <w:rPr>
          <w:color w:val="000000"/>
          <w:sz w:val="22"/>
          <w:szCs w:val="22"/>
        </w:rPr>
        <w:t xml:space="preserve">, 1942. With this deceivingly simple phrase, Howe gave approval as Canada’s Minister of Munitions and Supply for the country to start a commercial nuclear program, including the Montreal Laboratory that produced research for the development of nuclear weapons in addition to the sale of uranium to the American-led Manhattan Project, marking Canada’s entry into the nuclear age. A refrain of this date manifests through the inclusion of a mid-century domestic tableau with Pitkanen’s vintage FUTURA clock radio. </w:t>
      </w:r>
      <w:r>
        <w:rPr>
          <w:sz w:val="22"/>
          <w:szCs w:val="22"/>
        </w:rPr>
        <w:t>Time has stopped, appearing as:</w:t>
      </w:r>
      <w:r>
        <w:rPr>
          <w:color w:val="000000"/>
          <w:sz w:val="22"/>
          <w:szCs w:val="22"/>
        </w:rPr>
        <w:t xml:space="preserve"> “? 42”. The</w:t>
      </w:r>
      <w:r>
        <w:rPr>
          <w:sz w:val="22"/>
          <w:szCs w:val="22"/>
        </w:rPr>
        <w:t>se</w:t>
      </w:r>
      <w:r>
        <w:rPr>
          <w:color w:val="000000"/>
          <w:sz w:val="22"/>
          <w:szCs w:val="22"/>
        </w:rPr>
        <w:t xml:space="preserve"> </w:t>
      </w:r>
      <w:r>
        <w:rPr>
          <w:sz w:val="22"/>
          <w:szCs w:val="22"/>
        </w:rPr>
        <w:t xml:space="preserve">remnants of the everyday </w:t>
      </w:r>
      <w:r>
        <w:rPr>
          <w:color w:val="000000"/>
          <w:sz w:val="22"/>
          <w:szCs w:val="22"/>
        </w:rPr>
        <w:t>shift in meaning as a list of spaces and object</w:t>
      </w:r>
      <w:r>
        <w:rPr>
          <w:sz w:val="22"/>
          <w:szCs w:val="22"/>
        </w:rPr>
        <w:t xml:space="preserve">s from homes are read aloud, from a report of radioactivity contamination in homes in communities </w:t>
      </w:r>
      <w:r>
        <w:rPr>
          <w:sz w:val="22"/>
          <w:szCs w:val="22"/>
        </w:rPr>
        <w:lastRenderedPageBreak/>
        <w:t xml:space="preserve">where uranium was refined. Clothing. Locker. Desk. Worktable. Eyebolt. Flower box. Apron. Despite the dominance of spectacular images in the nuclear imaginary, it is also utterly banal, held in the body. </w:t>
      </w:r>
    </w:p>
    <w:p w14:paraId="00000011" w14:textId="77777777" w:rsidR="0051225C" w:rsidRDefault="0051225C">
      <w:pPr>
        <w:shd w:val="clear" w:color="auto" w:fill="FFFFFF"/>
        <w:ind w:firstLine="720"/>
        <w:rPr>
          <w:color w:val="000000"/>
          <w:sz w:val="22"/>
          <w:szCs w:val="22"/>
        </w:rPr>
      </w:pPr>
    </w:p>
    <w:p w14:paraId="00000012" w14:textId="77777777" w:rsidR="0051225C" w:rsidRDefault="00000000">
      <w:pPr>
        <w:shd w:val="clear" w:color="auto" w:fill="FFFFFF"/>
        <w:ind w:firstLine="720"/>
        <w:rPr>
          <w:color w:val="222222"/>
          <w:sz w:val="22"/>
          <w:szCs w:val="22"/>
        </w:rPr>
      </w:pPr>
      <w:r>
        <w:rPr>
          <w:i/>
          <w:iCs/>
          <w:color w:val="222222"/>
          <w:sz w:val="22"/>
          <w:szCs w:val="22"/>
          <w:highlight w:val="white"/>
        </w:rPr>
        <w:t>Dear Kids</w:t>
      </w:r>
      <w:r>
        <w:rPr>
          <w:color w:val="222222"/>
          <w:sz w:val="22"/>
          <w:szCs w:val="22"/>
          <w:highlight w:val="white"/>
        </w:rPr>
        <w:t xml:space="preserve"> takes its title from a ‘poem drop’ that occurs towards the end of the sound work. Short bursts of writing from the past and future that take an epistolary form are read aloud, always beginning with a greeting across generations. It’s here that monuments and the monumental are explored, from physical Cold War bunkers to the shaping of dominant historical narratives by state and capital interests. While these aspects of the nuclear industrial complex can feel immovable and immense, in this poem drop I glean a glimmer of hope. A message from Oleander suggests that “even monuments crack open, as fleeting as clouds,” rooted in Pitkanen’s suggestion that counter-histories are resurgent. This is paired with an excerpt of a letter from state officials to residents about contamination in their home, opening with: “Dear Occupant, </w:t>
      </w:r>
      <w:proofErr w:type="gramStart"/>
      <w:r>
        <w:rPr>
          <w:color w:val="222222"/>
          <w:sz w:val="22"/>
          <w:szCs w:val="22"/>
        </w:rPr>
        <w:t>We</w:t>
      </w:r>
      <w:proofErr w:type="gramEnd"/>
      <w:r>
        <w:rPr>
          <w:color w:val="222222"/>
          <w:sz w:val="22"/>
          <w:szCs w:val="22"/>
        </w:rPr>
        <w:t xml:space="preserve"> may return </w:t>
      </w:r>
      <w:proofErr w:type="gramStart"/>
      <w:r>
        <w:rPr>
          <w:color w:val="222222"/>
          <w:sz w:val="22"/>
          <w:szCs w:val="22"/>
        </w:rPr>
        <w:t>at a later date</w:t>
      </w:r>
      <w:proofErr w:type="gramEnd"/>
      <w:r>
        <w:rPr>
          <w:color w:val="222222"/>
          <w:sz w:val="22"/>
          <w:szCs w:val="22"/>
        </w:rPr>
        <w:t xml:space="preserve"> ... There is no health risk from radon in continuing to occupy your home in the meantime. If you do not hear from us again, you can be assured that we are satisfied.”</w:t>
      </w:r>
    </w:p>
    <w:p w14:paraId="00000013" w14:textId="77777777" w:rsidR="0051225C" w:rsidRDefault="0051225C">
      <w:pPr>
        <w:shd w:val="clear" w:color="auto" w:fill="FFFFFF"/>
        <w:ind w:firstLine="720"/>
        <w:rPr>
          <w:color w:val="222222"/>
          <w:sz w:val="22"/>
          <w:szCs w:val="22"/>
        </w:rPr>
      </w:pPr>
    </w:p>
    <w:p w14:paraId="00000014" w14:textId="77777777" w:rsidR="0051225C" w:rsidRDefault="00000000">
      <w:pPr>
        <w:shd w:val="clear" w:color="auto" w:fill="FFFFFF"/>
        <w:ind w:firstLine="720"/>
        <w:rPr>
          <w:color w:val="000000"/>
          <w:sz w:val="22"/>
          <w:szCs w:val="22"/>
        </w:rPr>
      </w:pPr>
      <w:r>
        <w:rPr>
          <w:color w:val="000000"/>
          <w:sz w:val="22"/>
          <w:szCs w:val="22"/>
        </w:rPr>
        <w:t xml:space="preserve">Forms of resistance against pervasive </w:t>
      </w:r>
      <w:proofErr w:type="spellStart"/>
      <w:r>
        <w:rPr>
          <w:color w:val="000000"/>
          <w:sz w:val="22"/>
          <w:szCs w:val="22"/>
        </w:rPr>
        <w:t>nuclearity</w:t>
      </w:r>
      <w:proofErr w:type="spellEnd"/>
      <w:r>
        <w:rPr>
          <w:color w:val="000000"/>
          <w:sz w:val="22"/>
          <w:szCs w:val="22"/>
        </w:rPr>
        <w:t xml:space="preserve"> are embedded in a new series of works by </w:t>
      </w:r>
      <w:r>
        <w:rPr>
          <w:b/>
          <w:bCs/>
          <w:color w:val="000000"/>
          <w:sz w:val="22"/>
          <w:szCs w:val="22"/>
        </w:rPr>
        <w:t>Dana Prieto</w:t>
      </w:r>
      <w:r>
        <w:rPr>
          <w:color w:val="000000"/>
          <w:sz w:val="22"/>
          <w:szCs w:val="22"/>
        </w:rPr>
        <w:t xml:space="preserve">, through her sustained artistic and material research into Toronto’s nuclear landscapes. While previous installations have considered sites of radioactive waste disposal in the Arsenal Lands in Mississauga, her more recent explorations have led her to archives concerning McClure Crescent in the Malvern neighborhood of Scarborough. Throughout the 1980s and 1990s, Malvern residents organized numerous community-led protests while pursuing a prolonged legal case against the Crown of Ontario, after discovering that their homes had been built on land contaminated with nuclear waste. The litigation culminated in a Supreme Court decision in their favour and became a landmark case in Canadian law concerning government negligence and environmental liability. Yet, 45 years later, former residents continue to experience the lasting consequences of living near radioactive waste and of the decade-long struggle to have it removed. </w:t>
      </w:r>
    </w:p>
    <w:p w14:paraId="00000015" w14:textId="77777777" w:rsidR="0051225C" w:rsidRDefault="0051225C">
      <w:pPr>
        <w:shd w:val="clear" w:color="auto" w:fill="FFFFFF"/>
        <w:ind w:firstLine="720"/>
        <w:rPr>
          <w:color w:val="000000"/>
          <w:sz w:val="22"/>
          <w:szCs w:val="22"/>
        </w:rPr>
      </w:pPr>
    </w:p>
    <w:p w14:paraId="00000016" w14:textId="77777777" w:rsidR="0051225C" w:rsidRDefault="00000000">
      <w:pPr>
        <w:shd w:val="clear" w:color="auto" w:fill="FFFFFF"/>
        <w:ind w:firstLine="720"/>
        <w:rPr>
          <w:color w:val="000000"/>
          <w:sz w:val="22"/>
          <w:szCs w:val="22"/>
        </w:rPr>
      </w:pPr>
      <w:r>
        <w:rPr>
          <w:color w:val="000000"/>
          <w:sz w:val="22"/>
          <w:szCs w:val="22"/>
        </w:rPr>
        <w:t xml:space="preserve">McClure Crescent resident George R. E. Heighington has painstakingly recorded the community’s story in the book </w:t>
      </w:r>
      <w:r>
        <w:rPr>
          <w:i/>
          <w:iCs/>
          <w:color w:val="000000"/>
          <w:sz w:val="22"/>
          <w:szCs w:val="22"/>
        </w:rPr>
        <w:t>A Radioactive Waste Dump in Malvern: A Citizen’s Account</w:t>
      </w:r>
      <w:r>
        <w:rPr>
          <w:color w:val="000000"/>
          <w:sz w:val="22"/>
          <w:szCs w:val="22"/>
        </w:rPr>
        <w:t xml:space="preserve">. In addition to chronicling the making of Environmental Case Law, Heighington also describes the various strategies used to solicit critical media coverage of Malvern as the government continued to break their promise to remove the hazardous material year-after-year. Two instances of community action serve as the inspiration for Prieto’s works: </w:t>
      </w:r>
      <w:r>
        <w:rPr>
          <w:i/>
          <w:iCs/>
          <w:color w:val="000000"/>
          <w:sz w:val="22"/>
          <w:szCs w:val="22"/>
        </w:rPr>
        <w:t xml:space="preserve">A minor protest </w:t>
      </w:r>
      <w:r>
        <w:rPr>
          <w:color w:val="000000"/>
          <w:sz w:val="22"/>
          <w:szCs w:val="22"/>
        </w:rPr>
        <w:t xml:space="preserve">and </w:t>
      </w:r>
      <w:r>
        <w:rPr>
          <w:i/>
          <w:iCs/>
          <w:color w:val="000000"/>
          <w:sz w:val="22"/>
          <w:szCs w:val="22"/>
        </w:rPr>
        <w:t xml:space="preserve">Duty of care </w:t>
      </w:r>
      <w:r>
        <w:rPr>
          <w:color w:val="000000"/>
          <w:sz w:val="22"/>
          <w:szCs w:val="22"/>
        </w:rPr>
        <w:t>(both 2026). On August 24, 1981, several neighbours gathered at Queen’s Park Crescent to protest at the site of provincial legislature—Heighington’s children contributed an old metal wagon topped with a wooden box with a painted sign that read “MALVERN ATOMIC WASTE, #1 TRUCK”.</w:t>
      </w:r>
      <w:r>
        <w:rPr>
          <w:color w:val="000000"/>
          <w:sz w:val="22"/>
          <w:szCs w:val="22"/>
          <w:vertAlign w:val="superscript"/>
        </w:rPr>
        <w:footnoteReference w:id="8"/>
      </w:r>
      <w:r>
        <w:rPr>
          <w:color w:val="000000"/>
          <w:sz w:val="22"/>
          <w:szCs w:val="22"/>
        </w:rPr>
        <w:t xml:space="preserve"> Prieto returned to the site of this action with her son Umi to gather soil which is encrusted on the wagon form of </w:t>
      </w:r>
      <w:r>
        <w:rPr>
          <w:i/>
          <w:iCs/>
          <w:color w:val="000000"/>
          <w:sz w:val="22"/>
          <w:szCs w:val="22"/>
        </w:rPr>
        <w:t xml:space="preserve">A minor protest. </w:t>
      </w:r>
      <w:r>
        <w:rPr>
          <w:color w:val="000000"/>
          <w:sz w:val="22"/>
          <w:szCs w:val="22"/>
        </w:rPr>
        <w:t xml:space="preserve">The image at the centre of </w:t>
      </w:r>
      <w:r>
        <w:rPr>
          <w:i/>
          <w:iCs/>
          <w:color w:val="000000"/>
          <w:sz w:val="22"/>
          <w:szCs w:val="22"/>
        </w:rPr>
        <w:t>Duty of Care</w:t>
      </w:r>
      <w:r>
        <w:rPr>
          <w:color w:val="000000"/>
          <w:sz w:val="22"/>
          <w:szCs w:val="22"/>
        </w:rPr>
        <w:t xml:space="preserve"> similarly </w:t>
      </w:r>
      <w:proofErr w:type="gramStart"/>
      <w:r>
        <w:rPr>
          <w:color w:val="000000"/>
          <w:sz w:val="22"/>
          <w:szCs w:val="22"/>
        </w:rPr>
        <w:t>makes reference</w:t>
      </w:r>
      <w:proofErr w:type="gramEnd"/>
      <w:r>
        <w:rPr>
          <w:color w:val="000000"/>
          <w:sz w:val="22"/>
          <w:szCs w:val="22"/>
        </w:rPr>
        <w:t xml:space="preserve"> to a demonstration organized by residents of Malvern on November 18, 1981, one year after they learned of the nuclear waste. The photograph was taken by Colin McConnell and published a few days later in the Toronto Star, described in the caption as they marked a “mournful anniversary” by filling a coffin full of radioactive soil from their yards. These jars were reportedly sent to municipal politicians.</w:t>
      </w:r>
      <w:r>
        <w:rPr>
          <w:color w:val="000000"/>
          <w:sz w:val="22"/>
          <w:szCs w:val="22"/>
          <w:vertAlign w:val="superscript"/>
        </w:rPr>
        <w:footnoteReference w:id="9"/>
      </w:r>
      <w:r>
        <w:rPr>
          <w:color w:val="000000"/>
          <w:sz w:val="22"/>
          <w:szCs w:val="22"/>
        </w:rPr>
        <w:t xml:space="preserve"> </w:t>
      </w:r>
    </w:p>
    <w:p w14:paraId="00000017" w14:textId="77777777" w:rsidR="0051225C" w:rsidRDefault="0051225C">
      <w:pPr>
        <w:shd w:val="clear" w:color="auto" w:fill="FFFFFF"/>
        <w:ind w:firstLine="720"/>
        <w:rPr>
          <w:color w:val="000000"/>
          <w:sz w:val="22"/>
          <w:szCs w:val="22"/>
        </w:rPr>
      </w:pPr>
    </w:p>
    <w:p w14:paraId="00000018" w14:textId="77777777" w:rsidR="0051225C" w:rsidRDefault="00000000">
      <w:pPr>
        <w:shd w:val="clear" w:color="auto" w:fill="FFFFFF"/>
        <w:ind w:firstLine="720"/>
        <w:rPr>
          <w:color w:val="000000"/>
          <w:sz w:val="22"/>
          <w:szCs w:val="22"/>
        </w:rPr>
      </w:pPr>
      <w:r>
        <w:rPr>
          <w:sz w:val="22"/>
          <w:szCs w:val="22"/>
        </w:rPr>
        <w:t xml:space="preserve">The long life of radioactive contamination taps into environmental and biological pathways not only of the past and present but of future generations, and the presence of children in these moments of protest is a poignant reminder of the toxic inheritance left to coming generations. </w:t>
      </w:r>
      <w:r>
        <w:rPr>
          <w:color w:val="000000"/>
          <w:sz w:val="22"/>
          <w:szCs w:val="22"/>
        </w:rPr>
        <w:t xml:space="preserve">It feels especially sinister, then, that the Ontario Power Generation (OPG) enlisted the advertising firm Forsman &amp; </w:t>
      </w:r>
      <w:proofErr w:type="spellStart"/>
      <w:r>
        <w:rPr>
          <w:color w:val="000000"/>
          <w:sz w:val="22"/>
          <w:szCs w:val="22"/>
        </w:rPr>
        <w:lastRenderedPageBreak/>
        <w:t>Bodenfors</w:t>
      </w:r>
      <w:proofErr w:type="spellEnd"/>
      <w:r>
        <w:rPr>
          <w:color w:val="000000"/>
          <w:sz w:val="22"/>
          <w:szCs w:val="22"/>
        </w:rPr>
        <w:t xml:space="preserve"> to launch a public education campaign in 2023 with a disarmingly cute, animated cartoon character named Pelly, who serves as a spokesperson to introduce younger audiences to nuclear power.</w:t>
      </w:r>
      <w:r>
        <w:rPr>
          <w:color w:val="000000"/>
          <w:sz w:val="22"/>
          <w:szCs w:val="22"/>
          <w:vertAlign w:val="superscript"/>
        </w:rPr>
        <w:footnoteReference w:id="10"/>
      </w:r>
      <w:r>
        <w:rPr>
          <w:color w:val="000000"/>
          <w:sz w:val="22"/>
          <w:szCs w:val="22"/>
        </w:rPr>
        <w:t xml:space="preserve"> This is the kind of social and political containment that Pitkanen writes about and has informed Prieto’s work </w:t>
      </w:r>
      <w:r>
        <w:rPr>
          <w:i/>
          <w:iCs/>
          <w:color w:val="000000"/>
          <w:sz w:val="22"/>
          <w:szCs w:val="22"/>
        </w:rPr>
        <w:t xml:space="preserve">A pack of cigarettes </w:t>
      </w:r>
      <w:r>
        <w:rPr>
          <w:color w:val="000000"/>
          <w:sz w:val="22"/>
          <w:szCs w:val="22"/>
        </w:rPr>
        <w:t>(2026). This work—which features Pelly—includes drawings of physical and ideological forms of nuclear containment. The drawings have been rendered with soil from nearby Crawford Lake, a site that has been subject to heightened geologic interest in recent years. As a meromictic lake, the sediment here provides an undisturbed year-by-year historical record of environmental and human impact, with a distinct ring that recorded the introduction of plutonium isotopes into the atmosphere through the test of atomic bombs.</w:t>
      </w:r>
      <w:r>
        <w:rPr>
          <w:color w:val="000000"/>
          <w:sz w:val="22"/>
          <w:szCs w:val="22"/>
          <w:vertAlign w:val="superscript"/>
        </w:rPr>
        <w:footnoteReference w:id="11"/>
      </w:r>
      <w:r>
        <w:rPr>
          <w:color w:val="000000"/>
          <w:sz w:val="22"/>
          <w:szCs w:val="22"/>
        </w:rPr>
        <w:t xml:space="preserve"> </w:t>
      </w:r>
    </w:p>
    <w:p w14:paraId="00000019" w14:textId="77777777" w:rsidR="0051225C" w:rsidRDefault="0051225C">
      <w:pPr>
        <w:shd w:val="clear" w:color="auto" w:fill="FFFFFF"/>
        <w:rPr>
          <w:color w:val="000000"/>
          <w:sz w:val="22"/>
          <w:szCs w:val="22"/>
        </w:rPr>
      </w:pPr>
    </w:p>
    <w:p w14:paraId="0000001A" w14:textId="77777777" w:rsidR="0051225C" w:rsidRDefault="00000000">
      <w:pPr>
        <w:shd w:val="clear" w:color="auto" w:fill="FFFFFF"/>
        <w:ind w:firstLine="720"/>
        <w:rPr>
          <w:color w:val="000000"/>
          <w:sz w:val="22"/>
          <w:szCs w:val="22"/>
        </w:rPr>
      </w:pPr>
      <w:r>
        <w:rPr>
          <w:color w:val="000000"/>
          <w:sz w:val="22"/>
          <w:szCs w:val="22"/>
        </w:rPr>
        <w:t xml:space="preserve">Prior to her research on Malvern, Prieto’s engagement with Toronto’s nuclear landscapes can be traced back to my first time working with the artist on a commissioned work that responded to the Small Arms Inspection Building, on land which has been subject to industrial and military presence since the 1800s. An environmental audit of the site in 1992 uncovered large concentrations of forever chemicals and low-level radioactive waste. This resulted in the removal of over 70, 000 tonnes of soil alongside the extraction and segregation of toxic particles and debris. Prieto’s installation, </w:t>
      </w:r>
      <w:r>
        <w:rPr>
          <w:i/>
          <w:iCs/>
          <w:color w:val="000000"/>
          <w:sz w:val="22"/>
          <w:szCs w:val="22"/>
        </w:rPr>
        <w:t>Footnotes for an Arsenal</w:t>
      </w:r>
      <w:r>
        <w:rPr>
          <w:color w:val="000000"/>
          <w:sz w:val="22"/>
          <w:szCs w:val="22"/>
        </w:rPr>
        <w:t xml:space="preserve"> (2022) consisted of unglazed terracotta tiles, fired soil from the Arsenal Lands, and a variety of thrown clay containers.</w:t>
      </w:r>
      <w:r>
        <w:rPr>
          <w:color w:val="000000"/>
          <w:sz w:val="22"/>
          <w:szCs w:val="22"/>
          <w:vertAlign w:val="superscript"/>
        </w:rPr>
        <w:footnoteReference w:id="12"/>
      </w:r>
      <w:r>
        <w:rPr>
          <w:color w:val="000000"/>
          <w:sz w:val="22"/>
          <w:szCs w:val="22"/>
        </w:rPr>
        <w:t xml:space="preserve"> The artist now revisits elements of this work in the context of </w:t>
      </w:r>
      <w:r>
        <w:rPr>
          <w:i/>
          <w:iCs/>
          <w:color w:val="000000"/>
          <w:sz w:val="22"/>
          <w:szCs w:val="22"/>
        </w:rPr>
        <w:t xml:space="preserve">discard studies, </w:t>
      </w:r>
      <w:r>
        <w:rPr>
          <w:color w:val="000000"/>
          <w:sz w:val="22"/>
          <w:szCs w:val="22"/>
        </w:rPr>
        <w:t xml:space="preserve">dispersing the ceramic vessels that resemble artillery shells throughout the exhibition as a reminder of the entanglement between nuclear technologies and the military-industrial-complex in a work now called </w:t>
      </w:r>
      <w:r>
        <w:rPr>
          <w:i/>
          <w:iCs/>
          <w:color w:val="000000"/>
          <w:sz w:val="22"/>
          <w:szCs w:val="22"/>
        </w:rPr>
        <w:t>Within acceptable limits</w:t>
      </w:r>
      <w:r>
        <w:rPr>
          <w:color w:val="000000"/>
          <w:sz w:val="22"/>
          <w:szCs w:val="22"/>
        </w:rPr>
        <w:t xml:space="preserve"> (2026)—a reference to the regulatory terms for allowable harm when it comes to contamination and pollution. Connected to Prieto’s interest in remediation of sites of contamination, she also explores the ways that mosses build and stabilize lands over deep time, accumulating radioactive fallout and other heavy contaminants from the air and soil. They are one of the species most widely used as bioindicators of radioactive contamination. </w:t>
      </w:r>
      <w:r>
        <w:rPr>
          <w:i/>
          <w:iCs/>
          <w:color w:val="000000"/>
          <w:sz w:val="22"/>
          <w:szCs w:val="22"/>
        </w:rPr>
        <w:t xml:space="preserve">Moss blind </w:t>
      </w:r>
      <w:r>
        <w:rPr>
          <w:color w:val="000000"/>
          <w:sz w:val="22"/>
          <w:szCs w:val="22"/>
        </w:rPr>
        <w:t xml:space="preserve">(2026) reflects on how plants become enrolled in practices of remediation and environmental management. How does the deployment of plants to mend damaged ecologies render nuclear technologies and their discards as civic, manageable, livable, and benign? </w:t>
      </w:r>
    </w:p>
    <w:p w14:paraId="0000001B" w14:textId="77777777" w:rsidR="0051225C" w:rsidRDefault="0051225C">
      <w:pPr>
        <w:shd w:val="clear" w:color="auto" w:fill="FFFFFF"/>
        <w:rPr>
          <w:color w:val="000000"/>
          <w:sz w:val="22"/>
          <w:szCs w:val="22"/>
        </w:rPr>
      </w:pPr>
    </w:p>
    <w:p w14:paraId="0000001C" w14:textId="77777777" w:rsidR="0051225C" w:rsidRDefault="00000000">
      <w:pPr>
        <w:shd w:val="clear" w:color="auto" w:fill="FFFFFF"/>
        <w:ind w:firstLine="720"/>
        <w:rPr>
          <w:color w:val="222222"/>
          <w:sz w:val="22"/>
          <w:szCs w:val="22"/>
        </w:rPr>
      </w:pPr>
      <w:r>
        <w:rPr>
          <w:color w:val="000000"/>
          <w:sz w:val="22"/>
          <w:szCs w:val="22"/>
        </w:rPr>
        <w:t>The fiction of containment is now being rehearsed at a national scale through Canada's plans for long-term nuclear waste storage. In late 2024, the Nuclear Waste Management Organization declared Wabigoon Lake Ojibway Nation and the township of Ignace—250 kilometres northwest of Thunder Bay—as host for Canada’s first deep geological repository. Should it be realized, the ramifications of this infrastructure project will be immense, as highly radioactive waste in the form of millions of nuclear fuel bundles will be transported from dozens of sites across the country. To move all existing waste, it will take approximately forty to fifty years of two to three shipments a day.</w:t>
      </w:r>
      <w:r>
        <w:rPr>
          <w:color w:val="000000"/>
          <w:sz w:val="22"/>
          <w:szCs w:val="22"/>
          <w:vertAlign w:val="superscript"/>
        </w:rPr>
        <w:footnoteReference w:id="13"/>
      </w:r>
      <w:r>
        <w:rPr>
          <w:color w:val="000000"/>
          <w:sz w:val="22"/>
          <w:szCs w:val="22"/>
        </w:rPr>
        <w:t xml:space="preserve"> As plans to scale up nuclear operations gain momentum in Canada, the work of Laura Grier, Laura Pitkanen, and Dana Prieto is more urgent than ever. </w:t>
      </w:r>
      <w:r>
        <w:rPr>
          <w:sz w:val="22"/>
          <w:szCs w:val="22"/>
        </w:rPr>
        <w:t xml:space="preserve">Read together, these works map a network of sites connected less by proximity than by the circulation of uranium, radioactive matter, and their enduring social and environmental consequences—across landscapes, bodies, and time. </w:t>
      </w:r>
    </w:p>
    <w:sectPr w:rsidR="0051225C">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C1D4E4" w14:textId="77777777" w:rsidR="00DC0E1E" w:rsidRDefault="00DC0E1E">
      <w:r>
        <w:separator/>
      </w:r>
    </w:p>
  </w:endnote>
  <w:endnote w:type="continuationSeparator" w:id="0">
    <w:p w14:paraId="70CC303D" w14:textId="77777777" w:rsidR="00DC0E1E" w:rsidRDefault="00DC0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68783EC-CECD-6241-B683-F0EF128BD722}"/>
    <w:embedBold r:id="rId2" w:fontKey="{FE06B5C9-885F-8141-B0BA-BAF83F36710A}"/>
    <w:embedItalic r:id="rId3" w:fontKey="{586AF15A-1A92-2644-8266-B0F62FEBFA2A}"/>
  </w:font>
  <w:font w:name="Play">
    <w:charset w:val="00"/>
    <w:family w:val="auto"/>
    <w:pitch w:val="default"/>
    <w:embedRegular r:id="rId4" w:fontKey="{2939E106-A22E-204D-940F-28FC5C985F39}"/>
  </w:font>
  <w:font w:name="Aptos">
    <w:panose1 w:val="020B0004020202020204"/>
    <w:charset w:val="00"/>
    <w:family w:val="swiss"/>
    <w:pitch w:val="variable"/>
    <w:sig w:usb0="20000287" w:usb1="00000003" w:usb2="00000000" w:usb3="00000000" w:csb0="0000019F" w:csb1="00000000"/>
    <w:embedRegular r:id="rId5" w:fontKey="{18F4FC21-C771-EB4C-B12C-9D2236A9F3E1}"/>
    <w:embedItalic r:id="rId6" w:fontKey="{4587D6C4-6590-6D4C-85B1-9CDE5DFDF22C}"/>
  </w:font>
  <w:font w:name="Aptos Display">
    <w:panose1 w:val="020B0004020202020204"/>
    <w:charset w:val="00"/>
    <w:family w:val="swiss"/>
    <w:pitch w:val="variable"/>
    <w:sig w:usb0="20000287" w:usb1="00000003" w:usb2="00000000" w:usb3="00000000" w:csb0="0000019F" w:csb1="00000000"/>
    <w:embedRegular r:id="rId7" w:fontKey="{45B7AA39-16B3-D94F-ACC7-11E0780B3B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35FA9C" w14:textId="77777777" w:rsidR="00DC0E1E" w:rsidRDefault="00DC0E1E">
      <w:r>
        <w:separator/>
      </w:r>
    </w:p>
  </w:footnote>
  <w:footnote w:type="continuationSeparator" w:id="0">
    <w:p w14:paraId="7C57CC19" w14:textId="77777777" w:rsidR="00DC0E1E" w:rsidRDefault="00DC0E1E">
      <w:r>
        <w:continuationSeparator/>
      </w:r>
    </w:p>
  </w:footnote>
  <w:footnote w:id="1">
    <w:p w14:paraId="07B47862" w14:textId="2185E043" w:rsidR="00944575" w:rsidRPr="00944575" w:rsidRDefault="00944575">
      <w:pPr>
        <w:pStyle w:val="FootnoteText"/>
        <w:rPr>
          <w:rFonts w:ascii="Times New Roman" w:hAnsi="Times New Roman" w:cs="Times New Roman"/>
          <w:sz w:val="19"/>
          <w:szCs w:val="19"/>
        </w:rPr>
      </w:pPr>
      <w:r w:rsidRPr="00944575">
        <w:rPr>
          <w:rStyle w:val="FootnoteReference"/>
          <w:rFonts w:ascii="Times New Roman" w:hAnsi="Times New Roman" w:cs="Times New Roman"/>
          <w:sz w:val="19"/>
          <w:szCs w:val="19"/>
        </w:rPr>
        <w:footnoteRef/>
      </w:r>
      <w:r w:rsidRPr="00944575">
        <w:rPr>
          <w:rFonts w:ascii="Times New Roman" w:hAnsi="Times New Roman" w:cs="Times New Roman"/>
          <w:sz w:val="19"/>
          <w:szCs w:val="19"/>
        </w:rPr>
        <w:t xml:space="preserve"> Liboiron, Max and Josh Lepawsky. Discard Studies: Wasting, Systems, and Power. Cambridge: MIT Press,</w:t>
      </w:r>
      <w:r w:rsidRPr="00944575">
        <w:rPr>
          <w:rFonts w:ascii="Times New Roman" w:hAnsi="Times New Roman" w:cs="Times New Roman"/>
          <w:i/>
          <w:iCs/>
          <w:sz w:val="19"/>
          <w:szCs w:val="19"/>
        </w:rPr>
        <w:t xml:space="preserve"> </w:t>
      </w:r>
      <w:r w:rsidRPr="00944575">
        <w:rPr>
          <w:rFonts w:ascii="Times New Roman" w:hAnsi="Times New Roman" w:cs="Times New Roman"/>
          <w:sz w:val="19"/>
          <w:szCs w:val="19"/>
        </w:rPr>
        <w:t xml:space="preserve">2022. </w:t>
      </w:r>
    </w:p>
  </w:footnote>
  <w:footnote w:id="2">
    <w:p w14:paraId="0000001D" w14:textId="77777777" w:rsidR="0051225C" w:rsidRDefault="00000000">
      <w:pPr>
        <w:pBdr>
          <w:top w:val="nil"/>
          <w:left w:val="nil"/>
          <w:bottom w:val="nil"/>
          <w:right w:val="nil"/>
          <w:between w:val="nil"/>
        </w:pBdr>
        <w:rPr>
          <w:color w:val="000000"/>
          <w:sz w:val="19"/>
          <w:szCs w:val="19"/>
        </w:rPr>
      </w:pPr>
      <w:r>
        <w:rPr>
          <w:rStyle w:val="FootnoteReference"/>
        </w:rPr>
        <w:footnoteRef/>
      </w:r>
      <w:r>
        <w:rPr>
          <w:color w:val="000000"/>
          <w:sz w:val="19"/>
          <w:szCs w:val="19"/>
        </w:rPr>
        <w:t xml:space="preserve"> Pitkanen, Laura. “Tactics and strategies of containment: Preserving state power in Canadian uranium refining,” </w:t>
      </w:r>
      <w:r>
        <w:rPr>
          <w:i/>
          <w:iCs/>
          <w:color w:val="000000"/>
          <w:sz w:val="19"/>
          <w:szCs w:val="19"/>
        </w:rPr>
        <w:t xml:space="preserve">The Extractive Industries and Society </w:t>
      </w:r>
      <w:r>
        <w:rPr>
          <w:color w:val="000000"/>
          <w:sz w:val="19"/>
          <w:szCs w:val="19"/>
        </w:rPr>
        <w:t>7 (2020): 546.</w:t>
      </w:r>
    </w:p>
  </w:footnote>
  <w:footnote w:id="3">
    <w:p w14:paraId="0000001E" w14:textId="77777777" w:rsidR="0051225C" w:rsidRDefault="00000000">
      <w:pPr>
        <w:pBdr>
          <w:top w:val="nil"/>
          <w:left w:val="nil"/>
          <w:bottom w:val="nil"/>
          <w:right w:val="nil"/>
          <w:between w:val="nil"/>
        </w:pBdr>
        <w:rPr>
          <w:color w:val="000000"/>
          <w:sz w:val="19"/>
          <w:szCs w:val="19"/>
        </w:rPr>
      </w:pPr>
      <w:r>
        <w:rPr>
          <w:rStyle w:val="FootnoteReference"/>
        </w:rPr>
        <w:footnoteRef/>
      </w:r>
      <w:r>
        <w:rPr>
          <w:color w:val="000000"/>
          <w:sz w:val="19"/>
          <w:szCs w:val="19"/>
        </w:rPr>
        <w:t xml:space="preserve"> Government of Ontario. </w:t>
      </w:r>
      <w:r>
        <w:rPr>
          <w:i/>
          <w:iCs/>
          <w:color w:val="000000"/>
          <w:sz w:val="19"/>
          <w:szCs w:val="19"/>
        </w:rPr>
        <w:t>Energy for Generations</w:t>
      </w:r>
      <w:r>
        <w:rPr>
          <w:color w:val="000000"/>
          <w:sz w:val="19"/>
          <w:szCs w:val="19"/>
        </w:rPr>
        <w:t xml:space="preserve">. 2025: </w:t>
      </w:r>
      <w:hyperlink r:id="rId1">
        <w:r w:rsidR="0051225C">
          <w:rPr>
            <w:color w:val="467886"/>
            <w:sz w:val="19"/>
            <w:szCs w:val="19"/>
            <w:u w:val="single"/>
          </w:rPr>
          <w:t>https://www.ontario.ca/page/energy-generations</w:t>
        </w:r>
      </w:hyperlink>
    </w:p>
  </w:footnote>
  <w:footnote w:id="4">
    <w:p w14:paraId="0000001F" w14:textId="77777777" w:rsidR="0051225C" w:rsidRDefault="00000000">
      <w:pPr>
        <w:pBdr>
          <w:top w:val="nil"/>
          <w:left w:val="nil"/>
          <w:bottom w:val="nil"/>
          <w:right w:val="nil"/>
          <w:between w:val="nil"/>
        </w:pBdr>
        <w:rPr>
          <w:color w:val="000000"/>
          <w:sz w:val="19"/>
          <w:szCs w:val="19"/>
        </w:rPr>
      </w:pPr>
      <w:r>
        <w:rPr>
          <w:rStyle w:val="FootnoteReference"/>
        </w:rPr>
        <w:footnoteRef/>
      </w:r>
      <w:r>
        <w:rPr>
          <w:color w:val="000000"/>
          <w:sz w:val="19"/>
          <w:szCs w:val="19"/>
        </w:rPr>
        <w:t xml:space="preserve"> Van Wyck, Peter C. </w:t>
      </w:r>
      <w:r>
        <w:rPr>
          <w:i/>
          <w:iCs/>
          <w:color w:val="000000"/>
          <w:sz w:val="19"/>
          <w:szCs w:val="19"/>
        </w:rPr>
        <w:t xml:space="preserve">The Highway of the Atom. </w:t>
      </w:r>
      <w:r>
        <w:rPr>
          <w:color w:val="000000"/>
          <w:sz w:val="19"/>
          <w:szCs w:val="19"/>
        </w:rPr>
        <w:t xml:space="preserve">Montreal and Kingston: McGill-Queen’s University Press, 2010. </w:t>
      </w:r>
    </w:p>
  </w:footnote>
  <w:footnote w:id="5">
    <w:p w14:paraId="00000020" w14:textId="77777777" w:rsidR="0051225C" w:rsidRDefault="00000000">
      <w:pPr>
        <w:pBdr>
          <w:top w:val="nil"/>
          <w:left w:val="nil"/>
          <w:bottom w:val="nil"/>
          <w:right w:val="nil"/>
          <w:between w:val="nil"/>
        </w:pBdr>
        <w:rPr>
          <w:color w:val="000000"/>
          <w:sz w:val="19"/>
          <w:szCs w:val="19"/>
        </w:rPr>
      </w:pPr>
      <w:r>
        <w:rPr>
          <w:rStyle w:val="FootnoteReference"/>
        </w:rPr>
        <w:footnoteRef/>
      </w:r>
      <w:r>
        <w:rPr>
          <w:color w:val="000000"/>
          <w:sz w:val="19"/>
          <w:szCs w:val="19"/>
        </w:rPr>
        <w:t xml:space="preserve"> Stanley, Anna. “Wasted Life: Labour, Liveliness, and the Production of Value,” </w:t>
      </w:r>
      <w:r>
        <w:rPr>
          <w:i/>
          <w:iCs/>
          <w:color w:val="000000"/>
          <w:sz w:val="19"/>
          <w:szCs w:val="19"/>
        </w:rPr>
        <w:t xml:space="preserve">Antipode </w:t>
      </w:r>
      <w:r>
        <w:rPr>
          <w:color w:val="000000"/>
          <w:sz w:val="19"/>
          <w:szCs w:val="19"/>
        </w:rPr>
        <w:t xml:space="preserve">47.3 (2015): 792-811. See also: </w:t>
      </w:r>
      <w:r>
        <w:rPr>
          <w:i/>
          <w:iCs/>
          <w:color w:val="000000"/>
          <w:sz w:val="19"/>
          <w:szCs w:val="19"/>
        </w:rPr>
        <w:t xml:space="preserve">A Moral Awakening, </w:t>
      </w:r>
      <w:r>
        <w:rPr>
          <w:color w:val="000000"/>
          <w:sz w:val="19"/>
          <w:szCs w:val="19"/>
        </w:rPr>
        <w:t xml:space="preserve">directed by Geoffrey Bird. Langford, BC: Royal Roads University, 2019: </w:t>
      </w:r>
      <w:hyperlink r:id="rId2">
        <w:r w:rsidR="0051225C">
          <w:rPr>
            <w:color w:val="467886"/>
            <w:sz w:val="19"/>
            <w:szCs w:val="19"/>
            <w:u w:val="single"/>
          </w:rPr>
          <w:t>https://moralawakening.ca/</w:t>
        </w:r>
      </w:hyperlink>
      <w:r>
        <w:rPr>
          <w:color w:val="000000"/>
          <w:sz w:val="19"/>
          <w:szCs w:val="19"/>
        </w:rPr>
        <w:t xml:space="preserve">. Laura Grier’s Uncle, Morris Neyelle, is one of the </w:t>
      </w:r>
      <w:proofErr w:type="spellStart"/>
      <w:r>
        <w:rPr>
          <w:color w:val="000000"/>
          <w:sz w:val="19"/>
          <w:szCs w:val="19"/>
        </w:rPr>
        <w:t>Déline</w:t>
      </w:r>
      <w:proofErr w:type="spellEnd"/>
      <w:r>
        <w:rPr>
          <w:color w:val="000000"/>
          <w:sz w:val="19"/>
          <w:szCs w:val="19"/>
        </w:rPr>
        <w:t xml:space="preserve"> Elders interviewed in </w:t>
      </w:r>
      <w:r>
        <w:rPr>
          <w:i/>
          <w:iCs/>
          <w:color w:val="000000"/>
          <w:sz w:val="19"/>
          <w:szCs w:val="19"/>
        </w:rPr>
        <w:t xml:space="preserve">A Moral Awakening, </w:t>
      </w:r>
      <w:r>
        <w:rPr>
          <w:color w:val="000000"/>
          <w:sz w:val="19"/>
          <w:szCs w:val="19"/>
        </w:rPr>
        <w:t xml:space="preserve">a documentary on the impacts of the Port Radium mine on the Dene people. </w:t>
      </w:r>
    </w:p>
  </w:footnote>
  <w:footnote w:id="6">
    <w:p w14:paraId="00000021" w14:textId="77777777" w:rsidR="0051225C" w:rsidRDefault="00000000">
      <w:pPr>
        <w:pBdr>
          <w:top w:val="nil"/>
          <w:left w:val="nil"/>
          <w:bottom w:val="nil"/>
          <w:right w:val="nil"/>
          <w:between w:val="nil"/>
        </w:pBdr>
        <w:rPr>
          <w:color w:val="000000"/>
          <w:sz w:val="19"/>
          <w:szCs w:val="19"/>
        </w:rPr>
      </w:pPr>
      <w:r>
        <w:rPr>
          <w:rStyle w:val="FootnoteReference"/>
        </w:rPr>
        <w:footnoteRef/>
      </w:r>
      <w:r>
        <w:rPr>
          <w:color w:val="000000"/>
          <w:sz w:val="19"/>
          <w:szCs w:val="19"/>
        </w:rPr>
        <w:t xml:space="preserve"> Sarkadi, Laurie. “Inside the fight to protect the Arctic’s ‘Water Heart’,” </w:t>
      </w:r>
      <w:r>
        <w:rPr>
          <w:i/>
          <w:iCs/>
          <w:color w:val="000000"/>
          <w:sz w:val="19"/>
          <w:szCs w:val="19"/>
        </w:rPr>
        <w:t xml:space="preserve">Canadian Geographic </w:t>
      </w:r>
      <w:r>
        <w:rPr>
          <w:color w:val="000000"/>
          <w:sz w:val="19"/>
          <w:szCs w:val="19"/>
        </w:rPr>
        <w:t xml:space="preserve">(December 28, 2017): </w:t>
      </w:r>
      <w:hyperlink r:id="rId3">
        <w:r w:rsidR="0051225C">
          <w:rPr>
            <w:color w:val="467886"/>
            <w:sz w:val="19"/>
            <w:szCs w:val="19"/>
            <w:u w:val="single"/>
          </w:rPr>
          <w:t>https://canadiangeographic.ca/articles/inside-the-fight-to-protect-the-arctics-water-heart/</w:t>
        </w:r>
      </w:hyperlink>
      <w:r>
        <w:rPr>
          <w:color w:val="000000"/>
          <w:sz w:val="19"/>
          <w:szCs w:val="19"/>
        </w:rPr>
        <w:t xml:space="preserve">.   </w:t>
      </w:r>
    </w:p>
  </w:footnote>
  <w:footnote w:id="7">
    <w:p w14:paraId="00000022" w14:textId="77777777" w:rsidR="0051225C" w:rsidRDefault="00000000">
      <w:pPr>
        <w:pBdr>
          <w:top w:val="nil"/>
          <w:left w:val="nil"/>
          <w:bottom w:val="nil"/>
          <w:right w:val="nil"/>
          <w:between w:val="nil"/>
        </w:pBdr>
        <w:rPr>
          <w:color w:val="000000"/>
          <w:sz w:val="19"/>
          <w:szCs w:val="19"/>
        </w:rPr>
      </w:pPr>
      <w:r>
        <w:rPr>
          <w:rStyle w:val="FootnoteReference"/>
        </w:rPr>
        <w:footnoteRef/>
      </w:r>
      <w:r>
        <w:rPr>
          <w:color w:val="000000"/>
          <w:sz w:val="19"/>
          <w:szCs w:val="19"/>
        </w:rPr>
        <w:t xml:space="preserve"> Van Wyck, Peter C. “How Canada Supplied Uranium for the Manhattan Project,” </w:t>
      </w:r>
      <w:r>
        <w:rPr>
          <w:i/>
          <w:iCs/>
          <w:color w:val="000000"/>
          <w:sz w:val="19"/>
          <w:szCs w:val="19"/>
        </w:rPr>
        <w:t>CBC </w:t>
      </w:r>
      <w:r>
        <w:rPr>
          <w:color w:val="000000"/>
          <w:sz w:val="19"/>
          <w:szCs w:val="19"/>
        </w:rPr>
        <w:t xml:space="preserve">(January 10, 2025): </w:t>
      </w:r>
      <w:hyperlink r:id="rId4">
        <w:r w:rsidR="0051225C">
          <w:rPr>
            <w:color w:val="467886"/>
            <w:sz w:val="19"/>
            <w:szCs w:val="19"/>
            <w:u w:val="single"/>
          </w:rPr>
          <w:t>https://www.cbc.ca/documentaries/how-canada-supplied-uranium-for-the-manhattan-project-1.7402051</w:t>
        </w:r>
      </w:hyperlink>
      <w:r>
        <w:rPr>
          <w:color w:val="000000"/>
          <w:sz w:val="19"/>
          <w:szCs w:val="19"/>
        </w:rPr>
        <w:t xml:space="preserve">. </w:t>
      </w:r>
    </w:p>
  </w:footnote>
  <w:footnote w:id="8">
    <w:p w14:paraId="00000023" w14:textId="77777777" w:rsidR="0051225C" w:rsidRDefault="00000000">
      <w:pPr>
        <w:pBdr>
          <w:top w:val="nil"/>
          <w:left w:val="nil"/>
          <w:bottom w:val="nil"/>
          <w:right w:val="nil"/>
          <w:between w:val="nil"/>
        </w:pBdr>
        <w:rPr>
          <w:color w:val="000000"/>
          <w:sz w:val="19"/>
          <w:szCs w:val="19"/>
        </w:rPr>
      </w:pPr>
      <w:r>
        <w:rPr>
          <w:rStyle w:val="FootnoteReference"/>
        </w:rPr>
        <w:footnoteRef/>
      </w:r>
      <w:r>
        <w:rPr>
          <w:color w:val="000000"/>
          <w:sz w:val="19"/>
          <w:szCs w:val="19"/>
        </w:rPr>
        <w:t xml:space="preserve"> Heighington, George R. E. </w:t>
      </w:r>
      <w:r>
        <w:rPr>
          <w:i/>
          <w:iCs/>
          <w:color w:val="000000"/>
          <w:sz w:val="19"/>
          <w:szCs w:val="19"/>
        </w:rPr>
        <w:t xml:space="preserve">A Radioactive Waste Dump in Malvern: A Citizen’s Account. </w:t>
      </w:r>
    </w:p>
  </w:footnote>
  <w:footnote w:id="9">
    <w:p w14:paraId="00000024" w14:textId="77777777" w:rsidR="0051225C" w:rsidRDefault="00000000">
      <w:pPr>
        <w:pBdr>
          <w:top w:val="nil"/>
          <w:left w:val="nil"/>
          <w:bottom w:val="nil"/>
          <w:right w:val="nil"/>
          <w:between w:val="nil"/>
        </w:pBdr>
        <w:rPr>
          <w:color w:val="000000"/>
          <w:sz w:val="19"/>
          <w:szCs w:val="19"/>
        </w:rPr>
      </w:pPr>
      <w:r>
        <w:rPr>
          <w:rStyle w:val="FootnoteReference"/>
        </w:rPr>
        <w:footnoteRef/>
      </w:r>
      <w:r>
        <w:rPr>
          <w:color w:val="000000"/>
          <w:sz w:val="19"/>
          <w:szCs w:val="19"/>
        </w:rPr>
        <w:t xml:space="preserve"> Bromfield, Mark. “Metro politicians can expect to get jars of radioactive soil,” </w:t>
      </w:r>
      <w:r>
        <w:rPr>
          <w:i/>
          <w:iCs/>
          <w:color w:val="000000"/>
          <w:sz w:val="19"/>
          <w:szCs w:val="19"/>
        </w:rPr>
        <w:t>The Toronto Star</w:t>
      </w:r>
      <w:r>
        <w:rPr>
          <w:color w:val="000000"/>
          <w:sz w:val="19"/>
          <w:szCs w:val="19"/>
        </w:rPr>
        <w:t xml:space="preserve"> (November 23, 1981): 5. </w:t>
      </w:r>
    </w:p>
  </w:footnote>
  <w:footnote w:id="10">
    <w:p w14:paraId="00000025" w14:textId="77777777" w:rsidR="0051225C" w:rsidRDefault="00000000">
      <w:pPr>
        <w:pBdr>
          <w:top w:val="nil"/>
          <w:left w:val="nil"/>
          <w:bottom w:val="nil"/>
          <w:right w:val="nil"/>
          <w:between w:val="nil"/>
        </w:pBdr>
        <w:rPr>
          <w:color w:val="000000"/>
          <w:sz w:val="18"/>
          <w:szCs w:val="18"/>
        </w:rPr>
      </w:pPr>
      <w:r>
        <w:rPr>
          <w:rStyle w:val="FootnoteReference"/>
        </w:rPr>
        <w:footnoteRef/>
      </w:r>
      <w:r>
        <w:rPr>
          <w:color w:val="000000"/>
          <w:sz w:val="18"/>
          <w:szCs w:val="18"/>
        </w:rPr>
        <w:t xml:space="preserve"> Ontario Power Generation. “Pelly’s Space” </w:t>
      </w:r>
      <w:r>
        <w:rPr>
          <w:i/>
          <w:iCs/>
          <w:color w:val="000000"/>
          <w:sz w:val="18"/>
          <w:szCs w:val="18"/>
        </w:rPr>
        <w:t xml:space="preserve">Nuclear Pelly. </w:t>
      </w:r>
      <w:r>
        <w:rPr>
          <w:color w:val="000000"/>
          <w:sz w:val="18"/>
          <w:szCs w:val="18"/>
        </w:rPr>
        <w:t xml:space="preserve"> </w:t>
      </w:r>
      <w:hyperlink r:id="rId5">
        <w:r w:rsidR="0051225C">
          <w:rPr>
            <w:color w:val="467886"/>
            <w:sz w:val="18"/>
            <w:szCs w:val="18"/>
            <w:u w:val="single"/>
          </w:rPr>
          <w:t>https://www.nuclearpelly.ca/</w:t>
        </w:r>
      </w:hyperlink>
      <w:r>
        <w:rPr>
          <w:color w:val="000000"/>
          <w:sz w:val="18"/>
          <w:szCs w:val="18"/>
        </w:rPr>
        <w:t xml:space="preserve"> </w:t>
      </w:r>
    </w:p>
  </w:footnote>
  <w:footnote w:id="11">
    <w:p w14:paraId="00000026" w14:textId="77777777" w:rsidR="0051225C" w:rsidRDefault="00000000">
      <w:pPr>
        <w:pBdr>
          <w:top w:val="nil"/>
          <w:left w:val="nil"/>
          <w:bottom w:val="nil"/>
          <w:right w:val="nil"/>
          <w:between w:val="nil"/>
        </w:pBdr>
        <w:rPr>
          <w:color w:val="000000"/>
          <w:sz w:val="19"/>
          <w:szCs w:val="19"/>
        </w:rPr>
      </w:pPr>
      <w:r>
        <w:rPr>
          <w:rStyle w:val="FootnoteReference"/>
        </w:rPr>
        <w:footnoteRef/>
      </w:r>
      <w:r>
        <w:rPr>
          <w:color w:val="000000"/>
          <w:sz w:val="19"/>
          <w:szCs w:val="19"/>
        </w:rPr>
        <w:t xml:space="preserve"> Chung, Emily. “Canada’s Crawford Lake chosen as ‘golden spike’ to mark proposed new epoch,” </w:t>
      </w:r>
      <w:r>
        <w:rPr>
          <w:i/>
          <w:iCs/>
          <w:color w:val="000000"/>
          <w:sz w:val="19"/>
          <w:szCs w:val="19"/>
        </w:rPr>
        <w:t xml:space="preserve">CBC </w:t>
      </w:r>
      <w:r>
        <w:rPr>
          <w:color w:val="000000"/>
          <w:sz w:val="19"/>
          <w:szCs w:val="19"/>
        </w:rPr>
        <w:t xml:space="preserve">(July 11, 2023): </w:t>
      </w:r>
      <w:hyperlink r:id="rId6">
        <w:r w:rsidR="0051225C">
          <w:rPr>
            <w:color w:val="467886"/>
            <w:sz w:val="19"/>
            <w:szCs w:val="19"/>
            <w:u w:val="single"/>
          </w:rPr>
          <w:t>https://www.cbc.ca/news/science/crawford-lake-anthropocene-1.6902999</w:t>
        </w:r>
      </w:hyperlink>
      <w:r>
        <w:rPr>
          <w:color w:val="000000"/>
          <w:sz w:val="19"/>
          <w:szCs w:val="19"/>
        </w:rPr>
        <w:t xml:space="preserve">. </w:t>
      </w:r>
    </w:p>
  </w:footnote>
  <w:footnote w:id="12">
    <w:p w14:paraId="00000028" w14:textId="77777777" w:rsidR="0051225C" w:rsidRDefault="00000000">
      <w:pPr>
        <w:rPr>
          <w:sz w:val="20"/>
          <w:szCs w:val="20"/>
        </w:rPr>
      </w:pPr>
      <w:r>
        <w:rPr>
          <w:rStyle w:val="FootnoteReference"/>
        </w:rPr>
        <w:footnoteRef/>
      </w:r>
      <w:r>
        <w:rPr>
          <w:sz w:val="20"/>
          <w:szCs w:val="20"/>
        </w:rPr>
        <w:t xml:space="preserve"> Lawson, Katie. “What Water Knows,” </w:t>
      </w:r>
      <w:r>
        <w:rPr>
          <w:i/>
          <w:iCs/>
          <w:sz w:val="20"/>
          <w:szCs w:val="20"/>
        </w:rPr>
        <w:t xml:space="preserve">Water, Kinship, Belief. </w:t>
      </w:r>
      <w:r>
        <w:rPr>
          <w:sz w:val="20"/>
          <w:szCs w:val="20"/>
        </w:rPr>
        <w:t xml:space="preserve">Hopkins, Candice, Katie Lawson and </w:t>
      </w:r>
      <w:proofErr w:type="spellStart"/>
      <w:r>
        <w:rPr>
          <w:sz w:val="20"/>
          <w:szCs w:val="20"/>
        </w:rPr>
        <w:t>Tairone</w:t>
      </w:r>
      <w:proofErr w:type="spellEnd"/>
      <w:r>
        <w:rPr>
          <w:sz w:val="20"/>
          <w:szCs w:val="20"/>
        </w:rPr>
        <w:t xml:space="preserve"> Bastien (Eds.) Toronto: Toronto Biennial of Art and Art Metropole, 2022: 125.</w:t>
      </w:r>
    </w:p>
  </w:footnote>
  <w:footnote w:id="13">
    <w:p w14:paraId="00000027" w14:textId="77777777" w:rsidR="0051225C" w:rsidRDefault="00000000">
      <w:pPr>
        <w:pBdr>
          <w:top w:val="nil"/>
          <w:left w:val="nil"/>
          <w:bottom w:val="nil"/>
          <w:right w:val="nil"/>
          <w:between w:val="nil"/>
        </w:pBdr>
        <w:rPr>
          <w:rFonts w:ascii="Aptos" w:eastAsia="Aptos" w:hAnsi="Aptos" w:cs="Aptos"/>
          <w:color w:val="000000"/>
          <w:sz w:val="20"/>
          <w:szCs w:val="20"/>
        </w:rPr>
      </w:pPr>
      <w:r>
        <w:rPr>
          <w:rStyle w:val="FootnoteReference"/>
        </w:rPr>
        <w:footnoteRef/>
      </w:r>
      <w:r>
        <w:rPr>
          <w:color w:val="000000"/>
          <w:sz w:val="19"/>
          <w:szCs w:val="19"/>
        </w:rPr>
        <w:t xml:space="preserve"> Brown, Desmond. “NWMO readies initial project description for proposed nuclear waste disposal site in northwestern Ontario,” </w:t>
      </w:r>
      <w:r>
        <w:rPr>
          <w:i/>
          <w:iCs/>
          <w:color w:val="000000"/>
          <w:sz w:val="19"/>
          <w:szCs w:val="19"/>
        </w:rPr>
        <w:t>CBC </w:t>
      </w:r>
      <w:r>
        <w:rPr>
          <w:color w:val="000000"/>
          <w:sz w:val="19"/>
          <w:szCs w:val="19"/>
        </w:rPr>
        <w:t xml:space="preserve">(September 22, 2025): </w:t>
      </w:r>
      <w:hyperlink r:id="rId7">
        <w:r w:rsidR="0051225C">
          <w:rPr>
            <w:color w:val="467886"/>
            <w:sz w:val="19"/>
            <w:szCs w:val="19"/>
            <w:u w:val="single"/>
          </w:rPr>
          <w:t>https://www.cbc.ca/news/canada/thunder-bay/nuclear-waste-project-northwestern-ontario-1.7638563</w:t>
        </w:r>
      </w:hyperlink>
      <w:r>
        <w:rPr>
          <w:color w:val="000000"/>
          <w:sz w:val="19"/>
          <w:szCs w:val="19"/>
        </w:rPr>
        <w:t xml:space="preserve">. </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25C"/>
    <w:rsid w:val="002E79EF"/>
    <w:rsid w:val="00511660"/>
    <w:rsid w:val="0051225C"/>
    <w:rsid w:val="00944575"/>
    <w:rsid w:val="00C57FBF"/>
    <w:rsid w:val="00D4175F"/>
    <w:rsid w:val="00DC0E1E"/>
    <w:rsid w:val="00F05F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CC8B3F9"/>
  <w15:docId w15:val="{507ED599-89D1-4441-90E4-DE5A2F8FE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line="278" w:lineRule="auto"/>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774137"/>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774137"/>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774137"/>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774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137"/>
    <w:rPr>
      <w:rFonts w:eastAsiaTheme="majorEastAsia" w:cstheme="majorBidi"/>
      <w:color w:val="272727" w:themeColor="text1" w:themeTint="D8"/>
    </w:rPr>
  </w:style>
  <w:style w:type="character" w:customStyle="1" w:styleId="TitleChar">
    <w:name w:val="Title Char"/>
    <w:basedOn w:val="DefaultParagraphFont"/>
    <w:link w:val="Title"/>
    <w:uiPriority w:val="10"/>
    <w:rsid w:val="0077413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774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137"/>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774137"/>
    <w:rPr>
      <w:i/>
      <w:iCs/>
      <w:color w:val="404040" w:themeColor="text1" w:themeTint="BF"/>
    </w:rPr>
  </w:style>
  <w:style w:type="paragraph" w:styleId="ListParagraph">
    <w:name w:val="List Paragraph"/>
    <w:basedOn w:val="Normal"/>
    <w:uiPriority w:val="34"/>
    <w:qFormat/>
    <w:rsid w:val="00774137"/>
    <w:pPr>
      <w:spacing w:after="160" w:line="278"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774137"/>
    <w:rPr>
      <w:i/>
      <w:iCs/>
      <w:color w:val="0F4761" w:themeColor="accent1" w:themeShade="BF"/>
    </w:rPr>
  </w:style>
  <w:style w:type="paragraph" w:styleId="IntenseQuote">
    <w:name w:val="Intense Quote"/>
    <w:basedOn w:val="Normal"/>
    <w:next w:val="Normal"/>
    <w:link w:val="IntenseQuoteChar"/>
    <w:uiPriority w:val="30"/>
    <w:qFormat/>
    <w:rsid w:val="0077413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774137"/>
    <w:rPr>
      <w:i/>
      <w:iCs/>
      <w:color w:val="0F4761" w:themeColor="accent1" w:themeShade="BF"/>
    </w:rPr>
  </w:style>
  <w:style w:type="character" w:styleId="IntenseReference">
    <w:name w:val="Intense Reference"/>
    <w:basedOn w:val="DefaultParagraphFont"/>
    <w:uiPriority w:val="32"/>
    <w:qFormat/>
    <w:rsid w:val="00774137"/>
    <w:rPr>
      <w:b/>
      <w:bCs/>
      <w:smallCaps/>
      <w:color w:val="0F4761" w:themeColor="accent1" w:themeShade="BF"/>
      <w:spacing w:val="5"/>
    </w:rPr>
  </w:style>
  <w:style w:type="character" w:styleId="Hyperlink">
    <w:name w:val="Hyperlink"/>
    <w:basedOn w:val="DefaultParagraphFont"/>
    <w:uiPriority w:val="99"/>
    <w:unhideWhenUsed/>
    <w:rsid w:val="00F5581B"/>
    <w:rPr>
      <w:color w:val="467886" w:themeColor="hyperlink"/>
      <w:u w:val="single"/>
    </w:rPr>
  </w:style>
  <w:style w:type="character" w:styleId="UnresolvedMention">
    <w:name w:val="Unresolved Mention"/>
    <w:basedOn w:val="DefaultParagraphFont"/>
    <w:uiPriority w:val="99"/>
    <w:semiHidden/>
    <w:unhideWhenUsed/>
    <w:rsid w:val="00F5581B"/>
    <w:rPr>
      <w:color w:val="605E5C"/>
      <w:shd w:val="clear" w:color="auto" w:fill="E1DFDD"/>
    </w:rPr>
  </w:style>
  <w:style w:type="character" w:styleId="FollowedHyperlink">
    <w:name w:val="FollowedHyperlink"/>
    <w:basedOn w:val="DefaultParagraphFont"/>
    <w:uiPriority w:val="99"/>
    <w:semiHidden/>
    <w:unhideWhenUsed/>
    <w:rsid w:val="006A21A0"/>
    <w:rPr>
      <w:color w:val="96607D" w:themeColor="followedHyperlink"/>
      <w:u w:val="single"/>
    </w:rPr>
  </w:style>
  <w:style w:type="paragraph" w:styleId="FootnoteText">
    <w:name w:val="footnote text"/>
    <w:basedOn w:val="Normal"/>
    <w:link w:val="FootnoteTextChar"/>
    <w:uiPriority w:val="99"/>
    <w:unhideWhenUsed/>
    <w:rsid w:val="006A21A0"/>
    <w:rPr>
      <w:rFonts w:asciiTheme="minorHAnsi" w:eastAsiaTheme="minorHAnsi" w:hAnsiTheme="minorHAnsi" w:cstheme="minorBidi"/>
      <w:kern w:val="2"/>
      <w:sz w:val="20"/>
      <w:szCs w:val="20"/>
    </w:rPr>
  </w:style>
  <w:style w:type="character" w:customStyle="1" w:styleId="FootnoteTextChar">
    <w:name w:val="Footnote Text Char"/>
    <w:basedOn w:val="DefaultParagraphFont"/>
    <w:link w:val="FootnoteText"/>
    <w:uiPriority w:val="99"/>
    <w:semiHidden/>
    <w:rsid w:val="006A21A0"/>
    <w:rPr>
      <w:sz w:val="20"/>
      <w:szCs w:val="20"/>
    </w:rPr>
  </w:style>
  <w:style w:type="character" w:styleId="FootnoteReference">
    <w:name w:val="footnote reference"/>
    <w:basedOn w:val="DefaultParagraphFont"/>
    <w:uiPriority w:val="99"/>
    <w:semiHidden/>
    <w:unhideWhenUsed/>
    <w:rsid w:val="006A21A0"/>
    <w:rPr>
      <w:vertAlign w:val="superscript"/>
    </w:rPr>
  </w:style>
  <w:style w:type="paragraph" w:styleId="EndnoteText">
    <w:name w:val="endnote text"/>
    <w:basedOn w:val="Normal"/>
    <w:link w:val="EndnoteTextChar"/>
    <w:uiPriority w:val="99"/>
    <w:semiHidden/>
    <w:unhideWhenUsed/>
    <w:rsid w:val="00D00AE0"/>
    <w:rPr>
      <w:rFonts w:asciiTheme="minorHAnsi" w:eastAsiaTheme="minorHAnsi" w:hAnsiTheme="minorHAnsi" w:cstheme="minorBidi"/>
      <w:kern w:val="2"/>
      <w:sz w:val="20"/>
      <w:szCs w:val="20"/>
    </w:rPr>
  </w:style>
  <w:style w:type="character" w:customStyle="1" w:styleId="EndnoteTextChar">
    <w:name w:val="Endnote Text Char"/>
    <w:basedOn w:val="DefaultParagraphFont"/>
    <w:link w:val="EndnoteText"/>
    <w:uiPriority w:val="99"/>
    <w:semiHidden/>
    <w:rsid w:val="00D00AE0"/>
    <w:rPr>
      <w:sz w:val="20"/>
      <w:szCs w:val="20"/>
    </w:rPr>
  </w:style>
  <w:style w:type="character" w:styleId="EndnoteReference">
    <w:name w:val="endnote reference"/>
    <w:basedOn w:val="DefaultParagraphFont"/>
    <w:uiPriority w:val="99"/>
    <w:semiHidden/>
    <w:unhideWhenUsed/>
    <w:rsid w:val="00D00AE0"/>
    <w:rPr>
      <w:vertAlign w:val="superscript"/>
    </w:rPr>
  </w:style>
  <w:style w:type="paragraph" w:styleId="Subtitle">
    <w:name w:val="Subtitle"/>
    <w:basedOn w:val="Normal"/>
    <w:next w:val="Normal"/>
    <w:link w:val="SubtitleChar"/>
    <w:uiPriority w:val="11"/>
    <w:qFormat/>
    <w:pPr>
      <w:spacing w:after="160" w:line="278"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canadiangeographic.ca/articles/inside-the-fight-to-protect-the-arctics-water-heart/" TargetMode="External"/><Relationship Id="rId7" Type="http://schemas.openxmlformats.org/officeDocument/2006/relationships/hyperlink" Target="https://www.cbc.ca/news/canada/thunder-bay/nuclear-waste-project-northwestern-ontario-1.7638563" TargetMode="External"/><Relationship Id="rId2" Type="http://schemas.openxmlformats.org/officeDocument/2006/relationships/hyperlink" Target="https://moralawakening.ca/" TargetMode="External"/><Relationship Id="rId1" Type="http://schemas.openxmlformats.org/officeDocument/2006/relationships/hyperlink" Target="https://www.ontario.ca/page/energy-generations" TargetMode="External"/><Relationship Id="rId6" Type="http://schemas.openxmlformats.org/officeDocument/2006/relationships/hyperlink" Target="https://www.cbc.ca/news/science/crawford-lake-anthropocene-1.6902999" TargetMode="External"/><Relationship Id="rId5" Type="http://schemas.openxmlformats.org/officeDocument/2006/relationships/hyperlink" Target="https://www.nuclearpelly.ca/" TargetMode="External"/><Relationship Id="rId4" Type="http://schemas.openxmlformats.org/officeDocument/2006/relationships/hyperlink" Target="https://www.cbc.ca/documentaries/how-canada-supplied-uranium-for-the-manhattan-project-1.74020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z1fahx2MksOxjOKwrFo9bDLw3Q==">CgMxLjA4AGojChRzdWdnZXN0LjI4YnBibjRhbDU2MRILRGFuYSBQcmlldG9yITFNTjlCb05MWThYWE1leUU5T0YtTkVYT0N1QUhJUnJXMg==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2281</Words>
  <Characters>13004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Lawson</dc:creator>
  <cp:lastModifiedBy>Katherine Lawson</cp:lastModifiedBy>
  <cp:revision>3</cp:revision>
  <dcterms:created xsi:type="dcterms:W3CDTF">2026-06-18T14:35:00Z</dcterms:created>
  <dcterms:modified xsi:type="dcterms:W3CDTF">2026-09-01T14:15:00Z</dcterms:modified>
</cp:coreProperties>
</file>